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2022年度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高等职业教育素质提升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项目自评表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单位名称：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eastAsia="zh-CN"/>
        </w:rPr>
        <w:t>鄂州职业大学</w:t>
      </w:r>
      <w:r>
        <w:rPr>
          <w:rFonts w:ascii="楷体_GB2312" w:hAnsi="仿宋" w:eastAsia="楷体_GB2312" w:cs="楷体_GB2312"/>
          <w:kern w:val="0"/>
          <w:sz w:val="28"/>
          <w:szCs w:val="28"/>
        </w:rPr>
        <w:t xml:space="preserve">           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 xml:space="preserve">填报日期： 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年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月</w:t>
      </w:r>
      <w:r>
        <w:rPr>
          <w:rFonts w:hint="eastAsia" w:ascii="楷体_GB2312" w:hAnsi="仿宋" w:eastAsia="楷体_GB2312" w:cs="楷体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仿宋" w:eastAsia="楷体_GB2312" w:cs="楷体_GB2312"/>
          <w:kern w:val="0"/>
          <w:sz w:val="28"/>
          <w:szCs w:val="28"/>
        </w:rPr>
        <w:t>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教育提升计划资金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教科文科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鄂州职业大学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、部门预算项目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、省直专项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A3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、省对下转移支付项目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、持续性项目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、新增性项目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、常年性项目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</w:t>
            </w:r>
            <w:r>
              <w:rPr>
                <w:rFonts w:hint="eastAsia" w:ascii="仿宋_GB2312" w:hAnsi="宋体" w:eastAsia="仿宋_GB2312" w:cs="仿宋_GB2312"/>
                <w:kern w:val="0"/>
              </w:rPr>
              <w:sym w:font="Wingdings 2" w:char="0052"/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2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、延续性项目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    3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、一次性项目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预算执行情况（万元）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</w:t>
            </w:r>
            <w:r>
              <w:rPr>
                <w:rFonts w:ascii="仿宋_GB2312" w:hAnsi="宋体" w:eastAsia="仿宋_GB2312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ascii="仿宋_GB2312" w:hAnsi="宋体" w:eastAsia="仿宋_GB2312" w:cs="仿宋_GB2312"/>
                <w:kern w:val="0"/>
              </w:rPr>
              <w:t>20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</w:t>
            </w:r>
            <w:r>
              <w:rPr>
                <w:rFonts w:ascii="仿宋_GB2312" w:hAnsi="宋体" w:eastAsia="仿宋_GB2312" w:cs="仿宋_GB2312"/>
                <w:kern w:val="0"/>
              </w:rPr>
              <w:t>*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8340.47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tabs>
                <w:tab w:val="left" w:pos="289"/>
              </w:tabs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  <w:t>2315.07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4"/>
                <w:szCs w:val="24"/>
                <w:lang w:val="en-US" w:eastAsia="zh-CN"/>
              </w:rPr>
              <w:t>27.76%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1</w:t>
            </w:r>
          </w:p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年初目标值（</w:t>
            </w:r>
            <w:r>
              <w:rPr>
                <w:rFonts w:ascii="仿宋_GB2312" w:hAnsi="宋体" w:eastAsia="仿宋_GB2312" w:cs="仿宋_GB2312"/>
                <w:kern w:val="0"/>
              </w:rPr>
              <w:t>A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实际完成值（</w:t>
            </w:r>
            <w:r>
              <w:rPr>
                <w:rFonts w:ascii="仿宋_GB2312" w:hAnsi="宋体" w:eastAsia="仿宋_GB2312" w:cs="仿宋_GB2312"/>
                <w:kern w:val="0"/>
              </w:rPr>
              <w:t>B</w:t>
            </w:r>
            <w:r>
              <w:rPr>
                <w:rFonts w:hint="eastAsia"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政府采购率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工程验收合格率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设备故障率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小于等于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小于等于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设备质量合格率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设备购置成本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控制在同类设备的购置价格的平均水平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控制在同类设备的购置价格的平均水平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360" w:hanging="360" w:hangingChars="200"/>
              <w:jc w:val="lef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资金下达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按规定时限，将财政资金下达到具体项目单位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资金监管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按照财政资金管理要求确保资金安全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社会效益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设备利用率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0" w:hanging="180" w:hangingChars="100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生态效益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3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使用人员满意度 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年度绩效目标</w:t>
            </w:r>
            <w:r>
              <w:rPr>
                <w:rFonts w:ascii="仿宋_GB2312" w:hAnsi="宋体" w:eastAsia="仿宋_GB2312" w:cs="仿宋_GB2312"/>
                <w:kern w:val="0"/>
              </w:rPr>
              <w:t>2</w:t>
            </w:r>
          </w:p>
        </w:tc>
        <w:tc>
          <w:tcPr>
            <w:tcW w:w="1822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保障绩效目标实现措施</w:t>
            </w:r>
          </w:p>
        </w:tc>
        <w:tc>
          <w:tcPr>
            <w:tcW w:w="62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1、根据国家有关法律制度规定，规范使用此项专项资金，提高资金使用效益；2、加强对此专项资金的监管，做到资金转款专用。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84.55分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2022年预算数为8340.47万元（包括上年结转431万元），实际拨款数额为1884万元。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1、推动机制创新，进一步促进高等职业学校办出特色，全面提高高等职业教育质量，提升其服务经济社会发展能力，为创建优质高职院校和应用型本科院校提供坚强的组织和队伍保障。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2、推进教学观念的更新，改革教学模式与方法，促进了学校教育质量不断提升；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3、完善信息化建设，优化学校的教学资源，促进校内优质课程资源与其他院校的共享共建，提升教师教科研能力；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4、大力推进技术技能人才培养质量大幅提升；</w:t>
            </w:r>
          </w:p>
          <w:p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5、提升学校教学诊断与改进工作信息化水平，促进了学校内部保证体系建设质量不断提升。</w:t>
            </w:r>
          </w:p>
        </w:tc>
      </w:tr>
    </w:tbl>
    <w:p>
      <w:pPr>
        <w:widowControl/>
        <w:rPr>
          <w:rFonts w:ascii="仿宋_GB2312" w:hAnsi="宋体" w:eastAsia="仿宋_GB2312" w:cs="Times New Roman"/>
          <w:kern w:val="0"/>
        </w:rPr>
      </w:pPr>
      <w:r>
        <w:rPr>
          <w:rFonts w:hint="eastAsia" w:ascii="仿宋_GB2312" w:hAnsi="宋体" w:eastAsia="仿宋_GB2312" w:cs="仿宋_GB2312"/>
          <w:kern w:val="0"/>
        </w:rPr>
        <w:t>备注：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1.</w:t>
      </w:r>
      <w:r>
        <w:rPr>
          <w:rFonts w:hint="eastAsia" w:ascii="仿宋_GB2312" w:hAnsi="宋体" w:eastAsia="仿宋_GB2312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2.</w:t>
      </w:r>
      <w:r>
        <w:rPr>
          <w:rFonts w:hint="eastAsia" w:ascii="仿宋_GB2312" w:hAnsi="宋体" w:eastAsia="仿宋_GB2312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hAnsi="宋体" w:eastAsia="仿宋_GB2312" w:cs="仿宋_GB2312"/>
          <w:kern w:val="0"/>
        </w:rPr>
        <w:t>X,</w:t>
      </w:r>
      <w:r>
        <w:rPr>
          <w:rFonts w:hint="eastAsia" w:ascii="仿宋_GB2312" w:hAnsi="宋体" w:eastAsia="仿宋_GB2312" w:cs="仿宋_GB2312"/>
          <w:kern w:val="0"/>
        </w:rPr>
        <w:t>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*B/A</w:t>
      </w:r>
      <w:r>
        <w:rPr>
          <w:rFonts w:hint="eastAsia" w:ascii="仿宋_GB2312" w:hAnsi="宋体" w:eastAsia="仿宋_GB2312" w:cs="仿宋_GB2312"/>
          <w:kern w:val="0"/>
        </w:rPr>
        <w:t>），反向指标（即目标值为≤</w:t>
      </w:r>
      <w:r>
        <w:rPr>
          <w:rFonts w:ascii="仿宋_GB2312" w:hAnsi="宋体" w:eastAsia="仿宋_GB2312" w:cs="仿宋_GB2312"/>
          <w:kern w:val="0"/>
        </w:rPr>
        <w:t>X</w:t>
      </w:r>
      <w:r>
        <w:rPr>
          <w:rFonts w:hint="eastAsia" w:ascii="仿宋_GB2312" w:hAnsi="宋体" w:eastAsia="仿宋_GB2312" w:cs="仿宋_GB2312"/>
          <w:kern w:val="0"/>
        </w:rPr>
        <w:t>，得分</w:t>
      </w:r>
      <w:r>
        <w:rPr>
          <w:rFonts w:ascii="仿宋_GB2312" w:hAnsi="宋体" w:eastAsia="仿宋_GB2312" w:cs="仿宋_GB2312"/>
          <w:kern w:val="0"/>
        </w:rPr>
        <w:t>=</w:t>
      </w:r>
      <w:r>
        <w:rPr>
          <w:rFonts w:hint="eastAsia" w:ascii="仿宋_GB2312" w:hAnsi="宋体" w:eastAsia="仿宋_GB2312" w:cs="仿宋_GB2312"/>
          <w:kern w:val="0"/>
        </w:rPr>
        <w:t>权重</w:t>
      </w:r>
      <w:r>
        <w:rPr>
          <w:rFonts w:ascii="仿宋_GB2312" w:hAnsi="宋体" w:eastAsia="仿宋_GB2312" w:cs="仿宋_GB2312"/>
          <w:kern w:val="0"/>
        </w:rPr>
        <w:t>*A/B）</w:t>
      </w:r>
      <w:r>
        <w:rPr>
          <w:rFonts w:hint="eastAsia" w:ascii="仿宋_GB2312" w:hAnsi="宋体" w:eastAsia="仿宋_GB2312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仿宋_GB2312" w:hAnsi="宋体" w:eastAsia="仿宋_GB2312" w:cs="Times New Roman"/>
          <w:kern w:val="0"/>
        </w:rPr>
      </w:pPr>
      <w:r>
        <w:rPr>
          <w:rFonts w:ascii="仿宋_GB2312" w:hAnsi="宋体" w:eastAsia="仿宋_GB2312" w:cs="仿宋_GB2312"/>
          <w:kern w:val="0"/>
        </w:rPr>
        <w:t>3.</w:t>
      </w:r>
      <w:r>
        <w:rPr>
          <w:rFonts w:hint="eastAsia" w:ascii="仿宋_GB2312" w:hAnsi="宋体" w:eastAsia="仿宋_GB2312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hAnsi="宋体" w:eastAsia="仿宋_GB2312" w:cs="仿宋_GB2312"/>
          <w:kern w:val="0"/>
        </w:rPr>
        <w:t>100-80%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80%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80-50%</w:t>
      </w:r>
      <w:r>
        <w:rPr>
          <w:rFonts w:hint="eastAsia" w:ascii="仿宋_GB2312" w:hAnsi="宋体" w:eastAsia="仿宋_GB2312" w:cs="仿宋_GB2312"/>
          <w:kern w:val="0"/>
        </w:rPr>
        <w:t>（含</w:t>
      </w:r>
      <w:r>
        <w:rPr>
          <w:rFonts w:ascii="仿宋_GB2312" w:hAnsi="宋体" w:eastAsia="仿宋_GB2312" w:cs="仿宋_GB2312"/>
          <w:kern w:val="0"/>
        </w:rPr>
        <w:t>50%</w:t>
      </w:r>
      <w:r>
        <w:rPr>
          <w:rFonts w:hint="eastAsia" w:ascii="仿宋_GB2312" w:hAnsi="宋体" w:eastAsia="仿宋_GB2312" w:cs="仿宋_GB2312"/>
          <w:kern w:val="0"/>
        </w:rPr>
        <w:t>）、</w:t>
      </w:r>
      <w:r>
        <w:rPr>
          <w:rFonts w:ascii="仿宋_GB2312" w:hAnsi="宋体" w:eastAsia="仿宋_GB2312" w:cs="仿宋_GB2312"/>
          <w:kern w:val="0"/>
        </w:rPr>
        <w:t>50-0%</w:t>
      </w:r>
      <w:r>
        <w:rPr>
          <w:rFonts w:hint="eastAsia" w:ascii="仿宋_GB2312" w:hAnsi="宋体" w:eastAsia="仿宋_GB2312" w:cs="仿宋_GB2312"/>
          <w:kern w:val="0"/>
        </w:rPr>
        <w:t>合理确定分值。汇总时，以资金额度为权重，对分值进行加权平均计算。</w:t>
      </w:r>
    </w:p>
    <w:p>
      <w:r>
        <w:rPr>
          <w:rFonts w:ascii="仿宋_GB2312" w:hAnsi="宋体" w:eastAsia="仿宋_GB2312" w:cs="仿宋_GB2312"/>
          <w:kern w:val="0"/>
        </w:rPr>
        <w:t>4.</w:t>
      </w:r>
      <w:r>
        <w:rPr>
          <w:rFonts w:hint="eastAsia" w:ascii="仿宋_GB2312" w:hAnsi="宋体" w:eastAsia="仿宋_GB2312" w:cs="仿宋_GB2312"/>
          <w:kern w:val="0"/>
        </w:rPr>
        <w:t>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UxYzk4NjNkMzYzZjQwNTA1OTQ1OTA3MWIxMjUxYWIifQ=="/>
  </w:docVars>
  <w:rsids>
    <w:rsidRoot w:val="00E60248"/>
    <w:rsid w:val="00BE7B27"/>
    <w:rsid w:val="00E60248"/>
    <w:rsid w:val="03DA64AD"/>
    <w:rsid w:val="0E337ECA"/>
    <w:rsid w:val="1584427A"/>
    <w:rsid w:val="17796000"/>
    <w:rsid w:val="29FA689B"/>
    <w:rsid w:val="38B51559"/>
    <w:rsid w:val="38EE5E64"/>
    <w:rsid w:val="4E5439D6"/>
    <w:rsid w:val="4F2629D5"/>
    <w:rsid w:val="54136627"/>
    <w:rsid w:val="557B26D6"/>
    <w:rsid w:val="62DF0070"/>
    <w:rsid w:val="671D35ED"/>
    <w:rsid w:val="7A72135D"/>
    <w:rsid w:val="7CC145C3"/>
    <w:rsid w:val="7CC8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1224</Words>
  <Characters>1330</Characters>
  <Lines>1</Lines>
  <Paragraphs>1</Paragraphs>
  <TotalTime>12</TotalTime>
  <ScaleCrop>false</ScaleCrop>
  <LinksUpToDate>false</LinksUpToDate>
  <CharactersWithSpaces>1388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2023-05-19T03:31:00Z</dcterms:created>
  <dc:creator>Administrator</dc:creator>
  <cp:lastModifiedBy>Administrator</cp:lastModifiedBy>
  <dcterms:modified xsi:type="dcterms:W3CDTF">2023-06-02T08:42:38Z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F1CE846266A246918038CA9D557A2855</vt:lpwstr>
  </property>
</Properties>
</file>