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cs="Times New Roman"/>
        </w:rPr>
      </w:pP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  <w:t xml:space="preserve">  2022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  <w:t>年度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  <w:t>中职学院实训楼项目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  <w:t>自评表</w:t>
      </w:r>
    </w:p>
    <w:p>
      <w:pPr>
        <w:widowControl/>
        <w:jc w:val="left"/>
        <w:rPr>
          <w:rFonts w:ascii="楷体_GB2312" w:hAnsi="黑体" w:eastAsia="楷体_GB2312" w:cs="Times New Roman"/>
          <w:kern w:val="0"/>
          <w:sz w:val="48"/>
          <w:szCs w:val="48"/>
        </w:rPr>
      </w:pPr>
      <w:r>
        <w:rPr>
          <w:rFonts w:hint="eastAsia" w:ascii="楷体_GB2312" w:hAnsi="仿宋" w:eastAsia="楷体_GB2312" w:cs="楷体_GB2312"/>
          <w:kern w:val="0"/>
          <w:sz w:val="28"/>
          <w:szCs w:val="28"/>
        </w:rPr>
        <w:t>单位名称：</w:t>
      </w:r>
      <w:r>
        <w:rPr>
          <w:rFonts w:hint="eastAsia" w:ascii="楷体_GB2312" w:hAnsi="仿宋" w:eastAsia="楷体_GB2312" w:cs="楷体_GB2312"/>
          <w:kern w:val="0"/>
          <w:sz w:val="28"/>
          <w:szCs w:val="28"/>
          <w:lang w:eastAsia="zh-CN"/>
        </w:rPr>
        <w:t>鄂州职业大学</w:t>
      </w:r>
      <w:r>
        <w:rPr>
          <w:rFonts w:ascii="楷体_GB2312" w:hAnsi="仿宋" w:eastAsia="楷体_GB2312" w:cs="楷体_GB2312"/>
          <w:kern w:val="0"/>
          <w:sz w:val="28"/>
          <w:szCs w:val="28"/>
        </w:rPr>
        <w:t xml:space="preserve">      </w:t>
      </w:r>
      <w:r>
        <w:rPr>
          <w:rFonts w:hint="eastAsia" w:ascii="楷体_GB2312" w:hAnsi="仿宋" w:eastAsia="楷体_GB2312" w:cs="楷体_GB2312"/>
          <w:kern w:val="0"/>
          <w:sz w:val="28"/>
          <w:szCs w:val="28"/>
          <w:lang w:val="en-US" w:eastAsia="zh-CN"/>
        </w:rPr>
        <w:t xml:space="preserve">  </w:t>
      </w:r>
      <w:r>
        <w:rPr>
          <w:rFonts w:ascii="楷体_GB2312" w:hAnsi="仿宋" w:eastAsia="楷体_GB2312" w:cs="楷体_GB2312"/>
          <w:kern w:val="0"/>
          <w:sz w:val="28"/>
          <w:szCs w:val="28"/>
        </w:rPr>
        <w:t xml:space="preserve">  </w:t>
      </w:r>
      <w:r>
        <w:rPr>
          <w:rFonts w:hint="eastAsia" w:ascii="楷体_GB2312" w:hAnsi="仿宋" w:eastAsia="楷体_GB2312" w:cs="楷体_GB2312"/>
          <w:kern w:val="0"/>
          <w:sz w:val="28"/>
          <w:szCs w:val="28"/>
        </w:rPr>
        <w:t>填报日期</w:t>
      </w:r>
      <w:r>
        <w:rPr>
          <w:rFonts w:hint="eastAsia" w:ascii="楷体_GB2312" w:hAnsi="仿宋" w:eastAsia="楷体_GB2312" w:cs="楷体_GB2312"/>
          <w:kern w:val="0"/>
          <w:sz w:val="28"/>
          <w:szCs w:val="28"/>
          <w:lang w:eastAsia="zh-CN"/>
        </w:rPr>
        <w:t>：</w:t>
      </w:r>
      <w:r>
        <w:rPr>
          <w:rFonts w:hint="eastAsia" w:ascii="楷体_GB2312" w:hAnsi="仿宋" w:eastAsia="楷体_GB2312" w:cs="楷体_GB2312"/>
          <w:kern w:val="0"/>
          <w:sz w:val="28"/>
          <w:szCs w:val="28"/>
          <w:lang w:val="en-US" w:eastAsia="zh-CN"/>
        </w:rPr>
        <w:t>2023年5月18日</w:t>
      </w:r>
    </w:p>
    <w:tbl>
      <w:tblPr>
        <w:tblStyle w:val="2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700"/>
        <w:gridCol w:w="1122"/>
        <w:gridCol w:w="1319"/>
        <w:gridCol w:w="923"/>
        <w:gridCol w:w="394"/>
        <w:gridCol w:w="1466"/>
        <w:gridCol w:w="660"/>
        <w:gridCol w:w="65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28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项目名称</w:t>
            </w:r>
          </w:p>
        </w:tc>
        <w:tc>
          <w:tcPr>
            <w:tcW w:w="7420" w:type="dxa"/>
            <w:gridSpan w:val="8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鄂州职业大学中职学院实训楼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1528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主管部门</w:t>
            </w:r>
          </w:p>
        </w:tc>
        <w:tc>
          <w:tcPr>
            <w:tcW w:w="3364" w:type="dxa"/>
            <w:gridSpan w:val="3"/>
            <w:vAlign w:val="center"/>
          </w:tcPr>
          <w:p>
            <w:pPr>
              <w:widowControl/>
              <w:snapToGrid w:val="0"/>
              <w:ind w:firstLine="1260" w:firstLineChars="600"/>
              <w:jc w:val="left"/>
              <w:rPr>
                <w:rFonts w:hint="eastAsia" w:ascii="仿宋_GB2312" w:hAnsi="宋体" w:eastAsia="仿宋_GB2312" w:cs="Times New Roman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eastAsia="zh-CN"/>
              </w:rPr>
              <w:t>教科文科</w:t>
            </w:r>
          </w:p>
        </w:tc>
        <w:tc>
          <w:tcPr>
            <w:tcW w:w="2520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  <w:lang w:eastAsia="zh-CN"/>
              </w:rPr>
              <w:t>鄂州职业大学</w:t>
            </w:r>
            <w:r>
              <w:rPr>
                <w:rFonts w:hint="eastAsia" w:ascii="仿宋_GB2312" w:hAnsi="宋体" w:eastAsia="仿宋_GB2312" w:cs="仿宋_GB2312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28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项目类别</w:t>
            </w:r>
          </w:p>
        </w:tc>
        <w:tc>
          <w:tcPr>
            <w:tcW w:w="7420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ascii="仿宋_GB2312" w:hAnsi="宋体" w:eastAsia="仿宋_GB2312" w:cs="仿宋_GB2312"/>
                <w:kern w:val="0"/>
              </w:rPr>
              <w:t>1</w:t>
            </w:r>
            <w:r>
              <w:rPr>
                <w:rFonts w:hint="eastAsia" w:ascii="仿宋_GB2312" w:hAnsi="宋体" w:eastAsia="仿宋_GB2312" w:cs="仿宋_GB2312"/>
                <w:kern w:val="0"/>
              </w:rPr>
              <w:t>、部门预算项目</w:t>
            </w:r>
            <w:r>
              <w:rPr>
                <w:rFonts w:ascii="仿宋_GB2312" w:hAnsi="宋体" w:eastAsia="仿宋_GB2312" w:cs="仿宋_GB2312"/>
                <w:kern w:val="0"/>
              </w:rPr>
              <w:t xml:space="preserve">   </w:t>
            </w:r>
            <w:r>
              <w:rPr>
                <w:rFonts w:hint="eastAsia" w:ascii="仿宋_GB2312" w:hAnsi="宋体" w:eastAsia="仿宋_GB2312" w:cs="仿宋_GB2312"/>
                <w:kern w:val="0"/>
              </w:rPr>
              <w:sym w:font="Wingdings 2" w:char="0052"/>
            </w:r>
            <w:r>
              <w:rPr>
                <w:rFonts w:ascii="仿宋_GB2312" w:hAnsi="宋体" w:eastAsia="仿宋_GB2312" w:cs="仿宋_GB2312"/>
                <w:kern w:val="0"/>
              </w:rPr>
              <w:t xml:space="preserve">   2</w:t>
            </w:r>
            <w:r>
              <w:rPr>
                <w:rFonts w:hint="eastAsia" w:ascii="仿宋_GB2312" w:hAnsi="宋体" w:eastAsia="仿宋_GB2312" w:cs="仿宋_GB2312"/>
                <w:kern w:val="0"/>
              </w:rPr>
              <w:t>、省直专项</w:t>
            </w:r>
            <w:r>
              <w:rPr>
                <w:rFonts w:ascii="仿宋_GB2312" w:hAnsi="宋体" w:eastAsia="仿宋_GB2312" w:cs="仿宋_GB2312"/>
                <w:kern w:val="0"/>
              </w:rPr>
              <w:t xml:space="preserve">   </w:t>
            </w:r>
            <w:r>
              <w:rPr>
                <w:rFonts w:hint="eastAsia" w:ascii="仿宋_GB2312" w:hAnsi="宋体" w:eastAsia="仿宋_GB2312" w:cs="仿宋_GB2312"/>
                <w:kern w:val="0"/>
              </w:rPr>
              <w:t>□</w:t>
            </w:r>
            <w:r>
              <w:rPr>
                <w:rFonts w:ascii="仿宋_GB2312" w:hAnsi="宋体" w:eastAsia="仿宋_GB2312" w:cs="仿宋_GB2312"/>
                <w:kern w:val="0"/>
              </w:rPr>
              <w:t xml:space="preserve">  3</w:t>
            </w:r>
            <w:r>
              <w:rPr>
                <w:rFonts w:hint="eastAsia" w:ascii="仿宋_GB2312" w:hAnsi="宋体" w:eastAsia="仿宋_GB2312" w:cs="仿宋_GB2312"/>
                <w:kern w:val="0"/>
              </w:rPr>
              <w:t>、省对下转移支付项目</w:t>
            </w:r>
            <w:r>
              <w:rPr>
                <w:rFonts w:ascii="仿宋_GB2312" w:hAnsi="宋体" w:eastAsia="仿宋_GB2312" w:cs="仿宋_GB2312"/>
                <w:kern w:val="0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kern w:val="0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28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项目属性</w:t>
            </w:r>
          </w:p>
        </w:tc>
        <w:tc>
          <w:tcPr>
            <w:tcW w:w="7420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ascii="仿宋_GB2312" w:hAnsi="宋体" w:eastAsia="仿宋_GB2312" w:cs="仿宋_GB2312"/>
                <w:kern w:val="0"/>
              </w:rPr>
              <w:t>1</w:t>
            </w:r>
            <w:r>
              <w:rPr>
                <w:rFonts w:hint="eastAsia" w:ascii="仿宋_GB2312" w:hAnsi="宋体" w:eastAsia="仿宋_GB2312" w:cs="仿宋_GB2312"/>
                <w:kern w:val="0"/>
              </w:rPr>
              <w:t>、持续性项目</w:t>
            </w:r>
            <w:r>
              <w:rPr>
                <w:rFonts w:ascii="仿宋_GB2312" w:hAnsi="宋体" w:eastAsia="仿宋_GB2312" w:cs="仿宋_GB2312"/>
                <w:kern w:val="0"/>
              </w:rPr>
              <w:t xml:space="preserve">     </w:t>
            </w:r>
            <w:r>
              <w:rPr>
                <w:rFonts w:hint="eastAsia" w:ascii="仿宋_GB2312" w:hAnsi="宋体" w:eastAsia="仿宋_GB2312" w:cs="仿宋_GB2312"/>
                <w:kern w:val="0"/>
              </w:rPr>
              <w:sym w:font="Wingdings 2" w:char="0052"/>
            </w:r>
            <w:r>
              <w:rPr>
                <w:rFonts w:ascii="仿宋_GB2312" w:hAnsi="宋体" w:eastAsia="仿宋_GB2312" w:cs="仿宋_GB2312"/>
                <w:kern w:val="0"/>
              </w:rPr>
              <w:t xml:space="preserve">   2</w:t>
            </w:r>
            <w:r>
              <w:rPr>
                <w:rFonts w:hint="eastAsia" w:ascii="仿宋_GB2312" w:hAnsi="宋体" w:eastAsia="仿宋_GB2312" w:cs="仿宋_GB2312"/>
                <w:kern w:val="0"/>
              </w:rPr>
              <w:t>、新增性项目</w:t>
            </w:r>
            <w:r>
              <w:rPr>
                <w:rFonts w:ascii="仿宋_GB2312" w:hAnsi="宋体" w:eastAsia="仿宋_GB2312" w:cs="仿宋_GB2312"/>
                <w:kern w:val="0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kern w:val="0"/>
              </w:rPr>
              <w:t>□</w:t>
            </w:r>
            <w:r>
              <w:rPr>
                <w:rFonts w:ascii="仿宋_GB2312" w:hAnsi="宋体" w:eastAsia="仿宋_GB2312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28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项目类型</w:t>
            </w:r>
          </w:p>
        </w:tc>
        <w:tc>
          <w:tcPr>
            <w:tcW w:w="7420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ascii="仿宋_GB2312" w:hAnsi="宋体" w:eastAsia="仿宋_GB2312" w:cs="仿宋_GB2312"/>
                <w:kern w:val="0"/>
              </w:rPr>
              <w:t>1</w:t>
            </w:r>
            <w:r>
              <w:rPr>
                <w:rFonts w:hint="eastAsia" w:ascii="仿宋_GB2312" w:hAnsi="宋体" w:eastAsia="仿宋_GB2312" w:cs="仿宋_GB2312"/>
                <w:kern w:val="0"/>
              </w:rPr>
              <w:t>、常年性项目</w:t>
            </w:r>
            <w:r>
              <w:rPr>
                <w:rFonts w:ascii="仿宋_GB2312" w:hAnsi="宋体" w:eastAsia="仿宋_GB2312" w:cs="仿宋_GB2312"/>
                <w:kern w:val="0"/>
              </w:rPr>
              <w:t xml:space="preserve">     </w:t>
            </w:r>
            <w:r>
              <w:rPr>
                <w:rFonts w:hint="eastAsia" w:ascii="仿宋_GB2312" w:hAnsi="宋体" w:eastAsia="仿宋_GB2312" w:cs="仿宋_GB2312"/>
                <w:kern w:val="0"/>
              </w:rPr>
              <w:sym w:font="Wingdings 2" w:char="00A3"/>
            </w:r>
            <w:r>
              <w:rPr>
                <w:rFonts w:ascii="仿宋_GB2312" w:hAnsi="宋体" w:eastAsia="仿宋_GB2312" w:cs="仿宋_GB2312"/>
                <w:kern w:val="0"/>
              </w:rPr>
              <w:t xml:space="preserve">   2</w:t>
            </w:r>
            <w:r>
              <w:rPr>
                <w:rFonts w:hint="eastAsia" w:ascii="仿宋_GB2312" w:hAnsi="宋体" w:eastAsia="仿宋_GB2312" w:cs="仿宋_GB2312"/>
                <w:kern w:val="0"/>
              </w:rPr>
              <w:t>、延续性项目</w:t>
            </w:r>
            <w:r>
              <w:rPr>
                <w:rFonts w:ascii="仿宋_GB2312" w:hAnsi="宋体" w:eastAsia="仿宋_GB2312" w:cs="仿宋_GB2312"/>
                <w:kern w:val="0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kern w:val="0"/>
              </w:rPr>
              <w:sym w:font="Wingdings 2" w:char="0052"/>
            </w:r>
            <w:r>
              <w:rPr>
                <w:rFonts w:ascii="仿宋_GB2312" w:hAnsi="宋体" w:eastAsia="仿宋_GB2312" w:cs="仿宋_GB2312"/>
                <w:kern w:val="0"/>
              </w:rPr>
              <w:t xml:space="preserve">      3</w:t>
            </w:r>
            <w:r>
              <w:rPr>
                <w:rFonts w:hint="eastAsia" w:ascii="仿宋_GB2312" w:hAnsi="宋体" w:eastAsia="仿宋_GB2312" w:cs="仿宋_GB2312"/>
                <w:kern w:val="0"/>
              </w:rPr>
              <w:t>、一次性项目</w:t>
            </w:r>
            <w:r>
              <w:rPr>
                <w:rFonts w:ascii="仿宋_GB2312" w:hAnsi="宋体" w:eastAsia="仿宋_GB2312" w:cs="仿宋_GB2312"/>
                <w:kern w:val="0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kern w:val="0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28" w:type="dxa"/>
            <w:gridSpan w:val="2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预算执行情况（万元）</w:t>
            </w:r>
          </w:p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（</w:t>
            </w:r>
            <w:r>
              <w:rPr>
                <w:rFonts w:ascii="仿宋_GB2312" w:hAnsi="宋体" w:eastAsia="仿宋_GB2312" w:cs="仿宋_GB2312"/>
                <w:kern w:val="0"/>
              </w:rPr>
              <w:t>20</w:t>
            </w:r>
            <w:r>
              <w:rPr>
                <w:rFonts w:hint="eastAsia" w:ascii="仿宋_GB2312" w:hAnsi="宋体" w:eastAsia="仿宋_GB2312" w:cs="仿宋_GB2312"/>
                <w:kern w:val="0"/>
              </w:rPr>
              <w:t>分）</w:t>
            </w:r>
          </w:p>
        </w:tc>
        <w:tc>
          <w:tcPr>
            <w:tcW w:w="1122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319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预算数（</w:t>
            </w:r>
            <w:r>
              <w:rPr>
                <w:rFonts w:ascii="仿宋_GB2312" w:hAnsi="宋体" w:eastAsia="仿宋_GB2312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执行数</w:t>
            </w:r>
            <w:r>
              <w:rPr>
                <w:rFonts w:ascii="仿宋_GB2312" w:hAnsi="宋体" w:eastAsia="仿宋_GB2312" w:cs="仿宋_GB2312"/>
                <w:kern w:val="0"/>
              </w:rPr>
              <w:t>（B）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执行率</w:t>
            </w:r>
            <w:r>
              <w:rPr>
                <w:rFonts w:ascii="仿宋_GB2312" w:hAnsi="宋体" w:eastAsia="仿宋_GB2312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（</w:t>
            </w:r>
            <w:r>
              <w:rPr>
                <w:rFonts w:ascii="仿宋_GB2312" w:hAnsi="宋体" w:eastAsia="仿宋_GB2312" w:cs="仿宋_GB2312"/>
                <w:kern w:val="0"/>
              </w:rPr>
              <w:t>20</w:t>
            </w:r>
            <w:r>
              <w:rPr>
                <w:rFonts w:hint="eastAsia" w:ascii="仿宋_GB2312" w:hAnsi="宋体" w:eastAsia="仿宋_GB2312" w:cs="仿宋_GB2312"/>
                <w:kern w:val="0"/>
              </w:rPr>
              <w:t>分</w:t>
            </w:r>
            <w:r>
              <w:rPr>
                <w:rFonts w:ascii="仿宋_GB2312" w:hAnsi="宋体" w:eastAsia="仿宋_GB2312" w:cs="仿宋_GB2312"/>
                <w:kern w:val="0"/>
              </w:rPr>
              <w:t>*</w:t>
            </w:r>
            <w:r>
              <w:rPr>
                <w:rFonts w:hint="eastAsia" w:ascii="仿宋_GB2312" w:hAnsi="宋体" w:eastAsia="仿宋_GB2312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28" w:type="dxa"/>
            <w:gridSpan w:val="2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22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年度财政资金总额</w:t>
            </w:r>
          </w:p>
        </w:tc>
        <w:tc>
          <w:tcPr>
            <w:tcW w:w="1319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1300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187.08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13.36%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2.67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年度绩效目标</w:t>
            </w:r>
            <w:r>
              <w:rPr>
                <w:rFonts w:hint="eastAsia" w:ascii="仿宋_GB2312" w:hAnsi="宋体" w:eastAsia="仿宋_GB2312" w:cs="仿宋_GB2312"/>
                <w:kern w:val="0"/>
                <w:lang w:val="en-US" w:eastAsia="zh-CN"/>
              </w:rPr>
              <w:t xml:space="preserve">  </w:t>
            </w:r>
          </w:p>
          <w:p>
            <w:pPr>
              <w:widowControl/>
              <w:snapToGrid w:val="0"/>
              <w:jc w:val="left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（</w:t>
            </w:r>
            <w:r>
              <w:rPr>
                <w:rFonts w:hint="eastAsia" w:ascii="仿宋_GB2312" w:hAnsi="宋体" w:eastAsia="仿宋_GB2312" w:cs="仿宋_GB2312"/>
                <w:kern w:val="0"/>
                <w:sz w:val="20"/>
                <w:szCs w:val="20"/>
                <w:lang w:val="en-US" w:eastAsia="zh-CN"/>
              </w:rPr>
              <w:t>80</w:t>
            </w:r>
            <w:r>
              <w:rPr>
                <w:rFonts w:hint="eastAsia" w:ascii="仿宋_GB2312" w:hAnsi="宋体" w:eastAsia="仿宋_GB2312" w:cs="仿宋_GB2312"/>
                <w:kern w:val="0"/>
              </w:rPr>
              <w:t>分）</w:t>
            </w:r>
          </w:p>
        </w:tc>
        <w:tc>
          <w:tcPr>
            <w:tcW w:w="700" w:type="dxa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一级指标</w:t>
            </w:r>
          </w:p>
        </w:tc>
        <w:tc>
          <w:tcPr>
            <w:tcW w:w="1122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二级指标</w:t>
            </w:r>
          </w:p>
        </w:tc>
        <w:tc>
          <w:tcPr>
            <w:tcW w:w="263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年初目标值（</w:t>
            </w:r>
            <w:r>
              <w:rPr>
                <w:rFonts w:ascii="仿宋_GB2312" w:hAnsi="宋体" w:eastAsia="仿宋_GB2312" w:cs="仿宋_GB2312"/>
                <w:kern w:val="0"/>
              </w:rPr>
              <w:t>A</w:t>
            </w:r>
            <w:r>
              <w:rPr>
                <w:rFonts w:hint="eastAsia" w:ascii="仿宋_GB2312" w:hAnsi="宋体" w:eastAsia="仿宋_GB2312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实际完成值（</w:t>
            </w:r>
            <w:r>
              <w:rPr>
                <w:rFonts w:ascii="仿宋_GB2312" w:hAnsi="宋体" w:eastAsia="仿宋_GB2312" w:cs="仿宋_GB2312"/>
                <w:kern w:val="0"/>
              </w:rPr>
              <w:t>B</w:t>
            </w:r>
            <w:r>
              <w:rPr>
                <w:rFonts w:hint="eastAsia" w:ascii="仿宋_GB2312" w:hAnsi="宋体" w:eastAsia="仿宋_GB2312" w:cs="仿宋_GB2312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产出指标</w:t>
            </w:r>
          </w:p>
        </w:tc>
        <w:tc>
          <w:tcPr>
            <w:tcW w:w="11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63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政府采购率</w:t>
            </w:r>
          </w:p>
        </w:tc>
        <w:tc>
          <w:tcPr>
            <w:tcW w:w="146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到达100%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到达100%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63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工程验收合格率</w:t>
            </w:r>
          </w:p>
        </w:tc>
        <w:tc>
          <w:tcPr>
            <w:tcW w:w="146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大于等于95%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大于等于95%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63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政府采购类项目成本</w:t>
            </w:r>
          </w:p>
        </w:tc>
        <w:tc>
          <w:tcPr>
            <w:tcW w:w="146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控制在当地平均水平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控制在当地平均水平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22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636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批复资金当年下达到学校比率</w:t>
            </w:r>
          </w:p>
        </w:tc>
        <w:tc>
          <w:tcPr>
            <w:tcW w:w="146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到达100%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到达100%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效益指标</w:t>
            </w:r>
          </w:p>
        </w:tc>
        <w:tc>
          <w:tcPr>
            <w:tcW w:w="1122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经济效益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63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资金下达</w:t>
            </w:r>
          </w:p>
        </w:tc>
        <w:tc>
          <w:tcPr>
            <w:tcW w:w="146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按规定时限，将财政资金下达到具体项目单位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按规定时限，将财政资金下达到具体项目单位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22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263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资金监管</w:t>
            </w:r>
          </w:p>
        </w:tc>
        <w:tc>
          <w:tcPr>
            <w:tcW w:w="146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按照财政资金管理要求确保资金安全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按照财政资金管理要求确保资金安全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80" w:hanging="180" w:hangingChars="100"/>
              <w:jc w:val="both"/>
              <w:textAlignment w:val="auto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生态效益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63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  <w:t>对在校师生的环境影响</w:t>
            </w:r>
          </w:p>
        </w:tc>
        <w:tc>
          <w:tcPr>
            <w:tcW w:w="146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  <w:t>必须满足师生健康要求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  <w:t>必须满足师生健康要求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　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22" w:type="dxa"/>
            <w:vAlign w:val="center"/>
          </w:tcPr>
          <w:p>
            <w:pPr>
              <w:widowControl/>
              <w:snapToGrid w:val="0"/>
              <w:ind w:left="180" w:hanging="180" w:hangingChars="1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63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宋体" w:eastAsia="仿宋_GB2312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  <w:t>对学校的建设规划的影响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both"/>
              <w:rPr>
                <w:rFonts w:hint="eastAsia" w:ascii="仿宋_GB2312" w:hAnsi="宋体" w:eastAsia="仿宋_GB2312" w:cs="Times New Roman"/>
                <w:kern w:val="0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eastAsia="zh-CN"/>
              </w:rPr>
              <w:t>必须满足学校长远规划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both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eastAsia="zh-CN"/>
              </w:rPr>
              <w:t>必须满足学校长远规划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满意度指标</w:t>
            </w:r>
          </w:p>
        </w:tc>
        <w:tc>
          <w:tcPr>
            <w:tcW w:w="11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63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  <w:t>使用人员满意度</w:t>
            </w:r>
          </w:p>
        </w:tc>
        <w:tc>
          <w:tcPr>
            <w:tcW w:w="146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大于等于95%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大于等于95%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年度绩效目标</w:t>
            </w:r>
            <w:r>
              <w:rPr>
                <w:rFonts w:ascii="仿宋_GB2312" w:hAnsi="宋体" w:eastAsia="仿宋_GB2312" w:cs="仿宋_GB2312"/>
                <w:kern w:val="0"/>
              </w:rPr>
              <w:t>2</w:t>
            </w:r>
          </w:p>
        </w:tc>
        <w:tc>
          <w:tcPr>
            <w:tcW w:w="182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保障绩效目标实现措施</w:t>
            </w:r>
          </w:p>
        </w:tc>
        <w:tc>
          <w:tcPr>
            <w:tcW w:w="6298" w:type="dxa"/>
            <w:gridSpan w:val="7"/>
            <w:vAlign w:val="center"/>
          </w:tcPr>
          <w:p>
            <w:pPr>
              <w:widowControl/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1、根据国家有关法律制度规定，规范使用此项专项资金，提高资金使用效益</w:t>
            </w:r>
            <w:r>
              <w:rPr>
                <w:rFonts w:hint="eastAsia" w:asciiTheme="minorEastAsia" w:hAnsi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。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2、加强对此专项资金的监管，做到资金转款专用。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78.67分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7" w:hRule="atLeast"/>
          <w:jc w:val="center"/>
        </w:trPr>
        <w:tc>
          <w:tcPr>
            <w:tcW w:w="1528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原因分析</w:t>
            </w:r>
          </w:p>
        </w:tc>
        <w:tc>
          <w:tcPr>
            <w:tcW w:w="7420" w:type="dxa"/>
            <w:gridSpan w:val="8"/>
            <w:vAlign w:val="center"/>
          </w:tcPr>
          <w:p>
            <w:pPr>
              <w:widowControl/>
              <w:jc w:val="left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2022年预算算1300万元，实拨170万元。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3" w:hRule="atLeast"/>
          <w:jc w:val="center"/>
        </w:trPr>
        <w:tc>
          <w:tcPr>
            <w:tcW w:w="1528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结果应用方案</w:t>
            </w:r>
          </w:p>
        </w:tc>
        <w:tc>
          <w:tcPr>
            <w:tcW w:w="7420" w:type="dxa"/>
            <w:gridSpan w:val="8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保障学校正常运转（包括日常教育教学活动、行政管理和后勤保障等方面所需的人员经费和公用经费支），保障学校基础能力建设、技能型人才培养等发展；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改善学校办学水平，促进学校教育质量不断提升；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大力推进技术技能培养工作；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加快构建职业教育质量保证体系，大力推进职业教育产教融合、校企合作，全面提升职业教育质量。</w:t>
            </w:r>
          </w:p>
        </w:tc>
      </w:tr>
    </w:tbl>
    <w:p>
      <w:pPr>
        <w:widowControl/>
        <w:rPr>
          <w:rFonts w:ascii="仿宋_GB2312" w:hAnsi="宋体" w:eastAsia="仿宋_GB2312" w:cs="Times New Roman"/>
          <w:kern w:val="0"/>
        </w:rPr>
      </w:pPr>
      <w:r>
        <w:rPr>
          <w:rFonts w:hint="eastAsia" w:ascii="仿宋_GB2312" w:hAnsi="宋体" w:eastAsia="仿宋_GB2312" w:cs="仿宋_GB2312"/>
          <w:kern w:val="0"/>
        </w:rPr>
        <w:t>备注：</w:t>
      </w:r>
    </w:p>
    <w:p>
      <w:pPr>
        <w:widowControl/>
        <w:ind w:firstLine="420" w:firstLineChars="200"/>
        <w:rPr>
          <w:rFonts w:ascii="仿宋_GB2312" w:hAnsi="宋体" w:eastAsia="仿宋_GB2312" w:cs="Times New Roman"/>
          <w:kern w:val="0"/>
        </w:rPr>
      </w:pPr>
      <w:r>
        <w:rPr>
          <w:rFonts w:ascii="仿宋_GB2312" w:hAnsi="宋体" w:eastAsia="仿宋_GB2312" w:cs="仿宋_GB2312"/>
          <w:kern w:val="0"/>
        </w:rPr>
        <w:t>1.</w:t>
      </w:r>
      <w:r>
        <w:rPr>
          <w:rFonts w:hint="eastAsia" w:ascii="仿宋_GB2312" w:hAnsi="宋体" w:eastAsia="仿宋_GB2312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仿宋_GB2312" w:hAnsi="宋体" w:eastAsia="仿宋_GB2312" w:cs="Times New Roman"/>
          <w:kern w:val="0"/>
        </w:rPr>
      </w:pPr>
      <w:r>
        <w:rPr>
          <w:rFonts w:ascii="仿宋_GB2312" w:hAnsi="宋体" w:eastAsia="仿宋_GB2312" w:cs="仿宋_GB2312"/>
          <w:kern w:val="0"/>
        </w:rPr>
        <w:t>2.</w:t>
      </w:r>
      <w:r>
        <w:rPr>
          <w:rFonts w:hint="eastAsia" w:ascii="仿宋_GB2312" w:hAnsi="宋体" w:eastAsia="仿宋_GB2312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仿宋_GB2312" w:hAnsi="宋体" w:eastAsia="仿宋_GB2312" w:cs="仿宋_GB2312"/>
          <w:kern w:val="0"/>
        </w:rPr>
        <w:t>X,</w:t>
      </w:r>
      <w:r>
        <w:rPr>
          <w:rFonts w:hint="eastAsia" w:ascii="仿宋_GB2312" w:hAnsi="宋体" w:eastAsia="仿宋_GB2312" w:cs="仿宋_GB2312"/>
          <w:kern w:val="0"/>
        </w:rPr>
        <w:t>得分</w:t>
      </w:r>
      <w:r>
        <w:rPr>
          <w:rFonts w:ascii="仿宋_GB2312" w:hAnsi="宋体" w:eastAsia="仿宋_GB2312" w:cs="仿宋_GB2312"/>
          <w:kern w:val="0"/>
        </w:rPr>
        <w:t>=</w:t>
      </w:r>
      <w:r>
        <w:rPr>
          <w:rFonts w:hint="eastAsia" w:ascii="仿宋_GB2312" w:hAnsi="宋体" w:eastAsia="仿宋_GB2312" w:cs="仿宋_GB2312"/>
          <w:kern w:val="0"/>
        </w:rPr>
        <w:t>权重</w:t>
      </w:r>
      <w:r>
        <w:rPr>
          <w:rFonts w:ascii="仿宋_GB2312" w:hAnsi="宋体" w:eastAsia="仿宋_GB2312" w:cs="仿宋_GB2312"/>
          <w:kern w:val="0"/>
        </w:rPr>
        <w:t>*B/A</w:t>
      </w:r>
      <w:r>
        <w:rPr>
          <w:rFonts w:hint="eastAsia" w:ascii="仿宋_GB2312" w:hAnsi="宋体" w:eastAsia="仿宋_GB2312" w:cs="仿宋_GB2312"/>
          <w:kern w:val="0"/>
        </w:rPr>
        <w:t>），反向指标（即目标值为≤</w:t>
      </w:r>
      <w:r>
        <w:rPr>
          <w:rFonts w:ascii="仿宋_GB2312" w:hAnsi="宋体" w:eastAsia="仿宋_GB2312" w:cs="仿宋_GB2312"/>
          <w:kern w:val="0"/>
        </w:rPr>
        <w:t>X</w:t>
      </w:r>
      <w:r>
        <w:rPr>
          <w:rFonts w:hint="eastAsia" w:ascii="仿宋_GB2312" w:hAnsi="宋体" w:eastAsia="仿宋_GB2312" w:cs="仿宋_GB2312"/>
          <w:kern w:val="0"/>
        </w:rPr>
        <w:t>，得分</w:t>
      </w:r>
      <w:r>
        <w:rPr>
          <w:rFonts w:ascii="仿宋_GB2312" w:hAnsi="宋体" w:eastAsia="仿宋_GB2312" w:cs="仿宋_GB2312"/>
          <w:kern w:val="0"/>
        </w:rPr>
        <w:t>=</w:t>
      </w:r>
      <w:r>
        <w:rPr>
          <w:rFonts w:hint="eastAsia" w:ascii="仿宋_GB2312" w:hAnsi="宋体" w:eastAsia="仿宋_GB2312" w:cs="仿宋_GB2312"/>
          <w:kern w:val="0"/>
        </w:rPr>
        <w:t>权重</w:t>
      </w:r>
      <w:r>
        <w:rPr>
          <w:rFonts w:ascii="仿宋_GB2312" w:hAnsi="宋体" w:eastAsia="仿宋_GB2312" w:cs="仿宋_GB2312"/>
          <w:kern w:val="0"/>
        </w:rPr>
        <w:t>*A/B）</w:t>
      </w:r>
      <w:r>
        <w:rPr>
          <w:rFonts w:hint="eastAsia" w:ascii="仿宋_GB2312" w:hAnsi="宋体" w:eastAsia="仿宋_GB2312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ascii="仿宋_GB2312" w:hAnsi="宋体" w:eastAsia="仿宋_GB2312" w:cs="Times New Roman"/>
          <w:kern w:val="0"/>
        </w:rPr>
      </w:pPr>
      <w:r>
        <w:rPr>
          <w:rFonts w:ascii="仿宋_GB2312" w:hAnsi="宋体" w:eastAsia="仿宋_GB2312" w:cs="仿宋_GB2312"/>
          <w:kern w:val="0"/>
        </w:rPr>
        <w:t>3.</w:t>
      </w:r>
      <w:r>
        <w:rPr>
          <w:rFonts w:hint="eastAsia" w:ascii="仿宋_GB2312" w:hAnsi="宋体" w:eastAsia="仿宋_GB2312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仿宋_GB2312" w:hAnsi="宋体" w:eastAsia="仿宋_GB2312" w:cs="仿宋_GB2312"/>
          <w:kern w:val="0"/>
        </w:rPr>
        <w:t>100-80%</w:t>
      </w:r>
      <w:r>
        <w:rPr>
          <w:rFonts w:hint="eastAsia" w:ascii="仿宋_GB2312" w:hAnsi="宋体" w:eastAsia="仿宋_GB2312" w:cs="仿宋_GB2312"/>
          <w:kern w:val="0"/>
        </w:rPr>
        <w:t>（含</w:t>
      </w:r>
      <w:r>
        <w:rPr>
          <w:rFonts w:ascii="仿宋_GB2312" w:hAnsi="宋体" w:eastAsia="仿宋_GB2312" w:cs="仿宋_GB2312"/>
          <w:kern w:val="0"/>
        </w:rPr>
        <w:t>80%</w:t>
      </w:r>
      <w:r>
        <w:rPr>
          <w:rFonts w:hint="eastAsia" w:ascii="仿宋_GB2312" w:hAnsi="宋体" w:eastAsia="仿宋_GB2312" w:cs="仿宋_GB2312"/>
          <w:kern w:val="0"/>
        </w:rPr>
        <w:t>）、</w:t>
      </w:r>
      <w:r>
        <w:rPr>
          <w:rFonts w:ascii="仿宋_GB2312" w:hAnsi="宋体" w:eastAsia="仿宋_GB2312" w:cs="仿宋_GB2312"/>
          <w:kern w:val="0"/>
        </w:rPr>
        <w:t>80-50%</w:t>
      </w:r>
      <w:r>
        <w:rPr>
          <w:rFonts w:hint="eastAsia" w:ascii="仿宋_GB2312" w:hAnsi="宋体" w:eastAsia="仿宋_GB2312" w:cs="仿宋_GB2312"/>
          <w:kern w:val="0"/>
        </w:rPr>
        <w:t>（含</w:t>
      </w:r>
      <w:r>
        <w:rPr>
          <w:rFonts w:ascii="仿宋_GB2312" w:hAnsi="宋体" w:eastAsia="仿宋_GB2312" w:cs="仿宋_GB2312"/>
          <w:kern w:val="0"/>
        </w:rPr>
        <w:t>50%</w:t>
      </w:r>
      <w:r>
        <w:rPr>
          <w:rFonts w:hint="eastAsia" w:ascii="仿宋_GB2312" w:hAnsi="宋体" w:eastAsia="仿宋_GB2312" w:cs="仿宋_GB2312"/>
          <w:kern w:val="0"/>
        </w:rPr>
        <w:t>）、</w:t>
      </w:r>
      <w:r>
        <w:rPr>
          <w:rFonts w:ascii="仿宋_GB2312" w:hAnsi="宋体" w:eastAsia="仿宋_GB2312" w:cs="仿宋_GB2312"/>
          <w:kern w:val="0"/>
        </w:rPr>
        <w:t>50-0%</w:t>
      </w:r>
      <w:r>
        <w:rPr>
          <w:rFonts w:hint="eastAsia" w:ascii="仿宋_GB2312" w:hAnsi="宋体" w:eastAsia="仿宋_GB2312" w:cs="仿宋_GB2312"/>
          <w:kern w:val="0"/>
        </w:rPr>
        <w:t>合理确定分值。汇总时，以资金额度为权重，对分值进行加权平均计算。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ascii="仿宋_GB2312" w:hAnsi="宋体" w:eastAsia="仿宋_GB2312" w:cs="仿宋_GB2312"/>
          <w:kern w:val="0"/>
        </w:rPr>
        <w:t>4.</w:t>
      </w:r>
      <w:r>
        <w:rPr>
          <w:rFonts w:hint="eastAsia" w:ascii="仿宋_GB2312" w:hAnsi="宋体" w:eastAsia="仿宋_GB2312" w:cs="仿宋_GB2312"/>
          <w:kern w:val="0"/>
        </w:rPr>
        <w:t>基于经济性和必要性等因素考虑，满意度指标暂可不作为必评指标。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5602976"/>
    <w:multiLevelType w:val="singleLevel"/>
    <w:tmpl w:val="05602976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UxYzk4NjNkMzYzZjQwNTA1OTQ1OTA3MWIxMjUxYWIifQ=="/>
  </w:docVars>
  <w:rsids>
    <w:rsidRoot w:val="7C2A1BCF"/>
    <w:rsid w:val="00144BE4"/>
    <w:rsid w:val="01705403"/>
    <w:rsid w:val="02BE3A7E"/>
    <w:rsid w:val="0B642CE9"/>
    <w:rsid w:val="0CAB281E"/>
    <w:rsid w:val="105C5289"/>
    <w:rsid w:val="14D64C58"/>
    <w:rsid w:val="156C2EC6"/>
    <w:rsid w:val="16C6452B"/>
    <w:rsid w:val="185F6723"/>
    <w:rsid w:val="1C525167"/>
    <w:rsid w:val="1FA4270F"/>
    <w:rsid w:val="265E685B"/>
    <w:rsid w:val="2C3D5228"/>
    <w:rsid w:val="2CAC7660"/>
    <w:rsid w:val="32335B05"/>
    <w:rsid w:val="342D3D10"/>
    <w:rsid w:val="3B2D45F6"/>
    <w:rsid w:val="3C8826C5"/>
    <w:rsid w:val="3F917849"/>
    <w:rsid w:val="43C9590B"/>
    <w:rsid w:val="4DE65204"/>
    <w:rsid w:val="4EC56BC8"/>
    <w:rsid w:val="507230BB"/>
    <w:rsid w:val="56E542AB"/>
    <w:rsid w:val="56E878F7"/>
    <w:rsid w:val="5BAE3827"/>
    <w:rsid w:val="5BB8319A"/>
    <w:rsid w:val="5C80736D"/>
    <w:rsid w:val="5DB42306"/>
    <w:rsid w:val="5E3A7821"/>
    <w:rsid w:val="632F68AE"/>
    <w:rsid w:val="726E19AD"/>
    <w:rsid w:val="72E476B5"/>
    <w:rsid w:val="73C53153"/>
    <w:rsid w:val="74BA6C37"/>
    <w:rsid w:val="7771337A"/>
    <w:rsid w:val="7B933845"/>
    <w:rsid w:val="7C2A1BCF"/>
    <w:rsid w:val="7C7C4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1126</Words>
  <Characters>1220</Characters>
  <Lines>0</Lines>
  <Paragraphs>0</Paragraphs>
  <TotalTime>9</TotalTime>
  <ScaleCrop>false</ScaleCrop>
  <LinksUpToDate>false</LinksUpToDate>
  <CharactersWithSpaces>1276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2023-05-25T08:11:00Z</dcterms:created>
  <dc:creator>Administrator</dc:creator>
  <cp:lastModifiedBy>Administrator</cp:lastModifiedBy>
  <dcterms:modified xsi:type="dcterms:W3CDTF">2023-06-02T08:42:23Z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2793587DC50843F083D465E1AE3A5388_13</vt:lpwstr>
  </property>
</Properties>
</file>