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Times New Roman"/>
          <w:sz w:val="28"/>
          <w:szCs w:val="28"/>
        </w:rPr>
      </w:pPr>
      <w:bookmarkStart w:id="0" w:name="_GoBack"/>
      <w:bookmarkEnd w:id="0"/>
      <w:r>
        <w:rPr>
          <w:rFonts w:hint="eastAsia" w:ascii="方正小标宋_GBK" w:hAnsi="仿宋" w:eastAsia="方正小标宋_GBK" w:cs="方正小标宋_GBK"/>
          <w:sz w:val="36"/>
          <w:szCs w:val="36"/>
          <w:lang w:val="en-US" w:eastAsia="zh-CN"/>
        </w:rPr>
        <w:t>2022</w:t>
      </w:r>
      <w:r>
        <w:rPr>
          <w:rFonts w:hint="eastAsia" w:ascii="方正小标宋_GBK" w:hAnsi="仿宋" w:eastAsia="方正小标宋_GBK" w:cs="方正小标宋_GBK"/>
          <w:sz w:val="36"/>
          <w:szCs w:val="36"/>
        </w:rPr>
        <w:t>年度</w:t>
      </w:r>
      <w:r>
        <w:rPr>
          <w:rFonts w:hint="eastAsia" w:ascii="方正小标宋_GBK" w:hAnsi="仿宋" w:eastAsia="方正小标宋_GBK" w:cs="方正小标宋_GBK"/>
          <w:sz w:val="36"/>
          <w:szCs w:val="36"/>
          <w:lang w:eastAsia="zh-CN"/>
        </w:rPr>
        <w:t>鄂州职业大学</w:t>
      </w:r>
      <w:r>
        <w:rPr>
          <w:rFonts w:hint="eastAsia" w:ascii="方正小标宋_GBK" w:hAnsi="仿宋" w:eastAsia="方正小标宋_GBK" w:cs="方正小标宋_GBK"/>
          <w:sz w:val="36"/>
          <w:szCs w:val="36"/>
        </w:rPr>
        <w:t>整体绩效自评结果</w:t>
      </w:r>
    </w:p>
    <w:p>
      <w:pPr>
        <w:jc w:val="center"/>
        <w:rPr>
          <w:rFonts w:ascii="仿宋" w:hAnsi="仿宋" w:eastAsia="仿宋" w:cs="Times New Roman"/>
          <w:sz w:val="32"/>
          <w:szCs w:val="32"/>
        </w:rPr>
      </w:pPr>
    </w:p>
    <w:p>
      <w:pPr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一、自评结论</w:t>
      </w:r>
    </w:p>
    <w:p>
      <w:pPr>
        <w:ind w:firstLine="640" w:firstLineChars="200"/>
        <w:rPr>
          <w:rFonts w:hint="eastAsia" w:ascii="楷体_GB2312" w:hAnsi="楷体" w:eastAsia="楷体_GB2312" w:cs="楷体_GB2312"/>
          <w:sz w:val="32"/>
          <w:szCs w:val="32"/>
        </w:rPr>
      </w:pPr>
      <w:r>
        <w:rPr>
          <w:rFonts w:hint="eastAsia" w:ascii="楷体_GB2312" w:hAnsi="楷体" w:eastAsia="楷体_GB2312" w:cs="楷体_GB2312"/>
          <w:sz w:val="32"/>
          <w:szCs w:val="32"/>
        </w:rPr>
        <w:t>（一）部门整体绩效自评得分</w:t>
      </w:r>
    </w:p>
    <w:p>
      <w:pPr>
        <w:ind w:firstLine="640" w:firstLineChars="200"/>
        <w:rPr>
          <w:rFonts w:hint="default" w:ascii="楷体_GB2312" w:hAnsi="楷体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楷体_GB2312"/>
          <w:sz w:val="32"/>
          <w:szCs w:val="32"/>
          <w:lang w:val="en-US" w:eastAsia="zh-CN"/>
        </w:rPr>
        <w:t>2022年度鄂州职业大学整体绩效自评得分为90.7分。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（二）部门整体绩效目标完成情况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执行率情况。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2022年度鄂州职业大学预算执行率为56.94%。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完成的绩效目标。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2022年度鄂州职业大学完成的绩效目标为79.3分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（三）存在的问题和原因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cs="宋体" w:asciiTheme="minorEastAsia" w:hAnsiTheme="minorEastAsia"/>
          <w:sz w:val="28"/>
          <w:szCs w:val="28"/>
        </w:rPr>
      </w:pP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1、</w:t>
      </w:r>
      <w:r>
        <w:rPr>
          <w:rFonts w:hint="eastAsia" w:cs="宋体" w:asciiTheme="minorEastAsia" w:hAnsiTheme="minorEastAsia"/>
          <w:sz w:val="28"/>
          <w:szCs w:val="28"/>
        </w:rPr>
        <w:t>202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2</w:t>
      </w:r>
      <w:r>
        <w:rPr>
          <w:rFonts w:hint="eastAsia" w:cs="宋体" w:asciiTheme="minorEastAsia" w:hAnsiTheme="minorEastAsia"/>
          <w:sz w:val="28"/>
          <w:szCs w:val="28"/>
        </w:rPr>
        <w:t>年部门预算总收入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33366.14</w:t>
      </w:r>
      <w:r>
        <w:rPr>
          <w:rFonts w:hint="eastAsia" w:cs="宋体" w:asciiTheme="minorEastAsia" w:hAnsiTheme="minorEastAsia"/>
          <w:sz w:val="28"/>
          <w:szCs w:val="28"/>
        </w:rPr>
        <w:t>万元。其中：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⑴、一般公共预算18916.14</w:t>
      </w:r>
      <w:r>
        <w:rPr>
          <w:rFonts w:hint="eastAsia" w:cs="宋体" w:asciiTheme="minorEastAsia" w:hAnsiTheme="minorEastAsia"/>
          <w:sz w:val="28"/>
          <w:szCs w:val="28"/>
        </w:rPr>
        <w:t>万元</w:t>
      </w:r>
      <w:r>
        <w:rPr>
          <w:rFonts w:hint="eastAsia" w:cs="宋体" w:asciiTheme="minorEastAsia" w:hAnsiTheme="minorEastAsia"/>
          <w:sz w:val="28"/>
          <w:szCs w:val="28"/>
          <w:lang w:eastAsia="zh-CN"/>
        </w:rPr>
        <w:t>；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⑵、政府性基金预算收入2700万元；⑶、</w:t>
      </w:r>
      <w:r>
        <w:rPr>
          <w:rFonts w:hint="eastAsia" w:cs="宋体" w:asciiTheme="minorEastAsia" w:hAnsiTheme="minorEastAsia"/>
          <w:sz w:val="28"/>
          <w:szCs w:val="28"/>
        </w:rPr>
        <w:t>纳入预算管理的各项收入113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00</w:t>
      </w:r>
      <w:r>
        <w:rPr>
          <w:rFonts w:hint="eastAsia" w:cs="宋体" w:asciiTheme="minorEastAsia" w:hAnsiTheme="minorEastAsia"/>
          <w:sz w:val="28"/>
          <w:szCs w:val="28"/>
        </w:rPr>
        <w:t>万元，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⑷、</w:t>
      </w:r>
      <w:r>
        <w:rPr>
          <w:rFonts w:hint="eastAsia" w:cs="宋体" w:asciiTheme="minorEastAsia" w:hAnsiTheme="minorEastAsia"/>
          <w:sz w:val="28"/>
          <w:szCs w:val="28"/>
        </w:rPr>
        <w:t>上年结转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450万</w:t>
      </w:r>
      <w:r>
        <w:rPr>
          <w:rFonts w:hint="eastAsia" w:cs="宋体" w:asciiTheme="minorEastAsia" w:hAnsiTheme="minorEastAsia"/>
          <w:sz w:val="28"/>
          <w:szCs w:val="28"/>
        </w:rPr>
        <w:t>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cs="宋体" w:asciiTheme="minorEastAsia" w:hAnsiTheme="minorEastAsia"/>
          <w:sz w:val="28"/>
          <w:szCs w:val="28"/>
        </w:rPr>
      </w:pP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2、</w:t>
      </w:r>
      <w:r>
        <w:rPr>
          <w:rFonts w:hint="eastAsia" w:cs="宋体" w:asciiTheme="minorEastAsia" w:hAnsiTheme="minorEastAsia"/>
          <w:sz w:val="28"/>
          <w:szCs w:val="28"/>
        </w:rPr>
        <w:t>202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2</w:t>
      </w:r>
      <w:r>
        <w:rPr>
          <w:rFonts w:hint="eastAsia" w:cs="宋体" w:asciiTheme="minorEastAsia" w:hAnsiTheme="minorEastAsia"/>
          <w:sz w:val="28"/>
          <w:szCs w:val="28"/>
        </w:rPr>
        <w:t>年部门预算总支出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33366.14</w:t>
      </w:r>
      <w:r>
        <w:rPr>
          <w:rFonts w:hint="eastAsia" w:cs="宋体" w:asciiTheme="minorEastAsia" w:hAnsiTheme="minorEastAsia"/>
          <w:sz w:val="28"/>
          <w:szCs w:val="28"/>
        </w:rPr>
        <w:t>万元。其中：项目支出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33366.14</w:t>
      </w:r>
      <w:r>
        <w:rPr>
          <w:rFonts w:hint="eastAsia" w:cs="宋体" w:asciiTheme="minorEastAsia" w:hAnsiTheme="minorEastAsia"/>
          <w:sz w:val="28"/>
          <w:szCs w:val="28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cs="宋体" w:asciiTheme="minorEastAsia" w:hAnsiTheme="minorEastAsia"/>
          <w:sz w:val="28"/>
          <w:szCs w:val="28"/>
        </w:rPr>
      </w:pPr>
      <w:r>
        <w:rPr>
          <w:rFonts w:hint="eastAsia" w:cs="宋体" w:asciiTheme="minorEastAsia" w:hAnsiTheme="minorEastAsia"/>
          <w:sz w:val="28"/>
          <w:szCs w:val="28"/>
        </w:rPr>
        <w:t>⑴</w:t>
      </w:r>
      <w:r>
        <w:rPr>
          <w:rFonts w:hint="eastAsia" w:cs="宋体" w:asciiTheme="minorEastAsia" w:hAnsiTheme="minorEastAsia"/>
          <w:sz w:val="28"/>
          <w:szCs w:val="28"/>
          <w:lang w:eastAsia="zh-CN"/>
        </w:rPr>
        <w:t>、</w:t>
      </w:r>
      <w:r>
        <w:rPr>
          <w:rFonts w:hint="eastAsia" w:cs="宋体" w:asciiTheme="minorEastAsia" w:hAnsiTheme="minorEastAsia"/>
          <w:sz w:val="28"/>
          <w:szCs w:val="28"/>
        </w:rPr>
        <w:t>按照支出功能分类科目，主要用于：项目支出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33366.14</w:t>
      </w:r>
      <w:r>
        <w:rPr>
          <w:rFonts w:hint="eastAsia" w:cs="宋体" w:asciiTheme="minorEastAsia" w:hAnsiTheme="minorEastAsia"/>
          <w:sz w:val="28"/>
          <w:szCs w:val="28"/>
        </w:rPr>
        <w:t>万元 ，合计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33366.14</w:t>
      </w:r>
      <w:r>
        <w:rPr>
          <w:rFonts w:hint="eastAsia" w:cs="宋体" w:asciiTheme="minorEastAsia" w:hAnsiTheme="minorEastAsia"/>
          <w:sz w:val="28"/>
          <w:szCs w:val="28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cs="宋体" w:asciiTheme="minorEastAsia" w:hAnsiTheme="minorEastAsia"/>
          <w:sz w:val="28"/>
          <w:szCs w:val="28"/>
        </w:rPr>
      </w:pPr>
      <w:r>
        <w:rPr>
          <w:rFonts w:hint="eastAsia" w:cs="宋体" w:asciiTheme="minorEastAsia" w:hAnsiTheme="minorEastAsia"/>
          <w:sz w:val="28"/>
          <w:szCs w:val="28"/>
        </w:rPr>
        <w:t>⑵</w:t>
      </w:r>
      <w:r>
        <w:rPr>
          <w:rFonts w:hint="eastAsia" w:cs="宋体" w:asciiTheme="minorEastAsia" w:hAnsiTheme="minorEastAsia"/>
          <w:sz w:val="28"/>
          <w:szCs w:val="28"/>
          <w:lang w:eastAsia="zh-CN"/>
        </w:rPr>
        <w:t>、</w:t>
      </w:r>
      <w:r>
        <w:rPr>
          <w:rFonts w:hint="eastAsia" w:cs="宋体" w:asciiTheme="minorEastAsia" w:hAnsiTheme="minorEastAsia"/>
          <w:sz w:val="28"/>
          <w:szCs w:val="28"/>
        </w:rPr>
        <w:t>按照支出经济分类科目，主要用于：项目支出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33366.14</w:t>
      </w:r>
      <w:r>
        <w:rPr>
          <w:rFonts w:hint="eastAsia" w:cs="宋体" w:asciiTheme="minorEastAsia" w:hAnsiTheme="minorEastAsia"/>
          <w:sz w:val="28"/>
          <w:szCs w:val="28"/>
        </w:rPr>
        <w:t>万元，合计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33366.14</w:t>
      </w:r>
      <w:r>
        <w:rPr>
          <w:rFonts w:hint="eastAsia" w:cs="宋体" w:asciiTheme="minorEastAsia" w:hAnsiTheme="minorEastAsia"/>
          <w:sz w:val="28"/>
          <w:szCs w:val="28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cs="黑体" w:asciiTheme="minorEastAsia" w:hAnsiTheme="minorEastAsia"/>
          <w:sz w:val="28"/>
          <w:szCs w:val="28"/>
        </w:rPr>
      </w:pPr>
      <w:r>
        <w:rPr>
          <w:rFonts w:hint="eastAsia" w:cs="黑体" w:asciiTheme="minorEastAsia" w:hAnsiTheme="minorEastAsia"/>
          <w:sz w:val="28"/>
          <w:szCs w:val="28"/>
          <w:lang w:val="en-US" w:eastAsia="zh-CN"/>
        </w:rPr>
        <w:t>3、</w:t>
      </w:r>
      <w:r>
        <w:rPr>
          <w:rFonts w:hint="eastAsia" w:cs="黑体" w:asciiTheme="minorEastAsia" w:hAnsiTheme="minorEastAsia"/>
          <w:sz w:val="28"/>
          <w:szCs w:val="28"/>
        </w:rPr>
        <w:t>202</w:t>
      </w:r>
      <w:r>
        <w:rPr>
          <w:rFonts w:hint="eastAsia" w:cs="黑体" w:asciiTheme="minorEastAsia" w:hAnsiTheme="minorEastAsia"/>
          <w:sz w:val="28"/>
          <w:szCs w:val="28"/>
          <w:lang w:val="en-US" w:eastAsia="zh-CN"/>
        </w:rPr>
        <w:t>2</w:t>
      </w:r>
      <w:r>
        <w:rPr>
          <w:rFonts w:hint="eastAsia" w:cs="黑体" w:asciiTheme="minorEastAsia" w:hAnsiTheme="minorEastAsia"/>
          <w:sz w:val="28"/>
          <w:szCs w:val="28"/>
        </w:rPr>
        <w:t>年预算安排增减变化情况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cs="宋体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cs="宋体" w:asciiTheme="minorEastAsia" w:hAnsiTheme="minorEastAsia"/>
          <w:sz w:val="28"/>
          <w:szCs w:val="28"/>
        </w:rPr>
        <w:t>⑴</w:t>
      </w:r>
      <w:r>
        <w:rPr>
          <w:rFonts w:hint="eastAsia" w:cs="宋体" w:asciiTheme="minorEastAsia" w:hAnsiTheme="minorEastAsia"/>
          <w:sz w:val="28"/>
          <w:szCs w:val="28"/>
          <w:lang w:eastAsia="zh-CN"/>
        </w:rPr>
        <w:t>、</w:t>
      </w:r>
      <w:r>
        <w:rPr>
          <w:rFonts w:hint="eastAsia" w:cs="宋体" w:asciiTheme="minorEastAsia" w:hAnsiTheme="minorEastAsia"/>
          <w:sz w:val="28"/>
          <w:szCs w:val="28"/>
        </w:rPr>
        <w:t>202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2</w:t>
      </w:r>
      <w:r>
        <w:rPr>
          <w:rFonts w:hint="eastAsia" w:cs="宋体" w:asciiTheme="minorEastAsia" w:hAnsiTheme="minorEastAsia"/>
          <w:sz w:val="28"/>
          <w:szCs w:val="28"/>
        </w:rPr>
        <w:t>年预算总收入比去年增加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293.31</w:t>
      </w:r>
      <w:r>
        <w:rPr>
          <w:rFonts w:hint="eastAsia" w:cs="宋体" w:asciiTheme="minorEastAsia" w:hAnsiTheme="minorEastAsia"/>
          <w:sz w:val="28"/>
          <w:szCs w:val="28"/>
        </w:rPr>
        <w:t>万元，</w:t>
      </w:r>
      <w:r>
        <w:rPr>
          <w:rFonts w:hint="eastAsia" w:cs="宋体" w:asciiTheme="minorEastAsia" w:hAnsiTheme="minorEastAsia"/>
          <w:sz w:val="28"/>
          <w:szCs w:val="28"/>
          <w:lang w:eastAsia="zh-CN"/>
        </w:rPr>
        <w:t>增加的原因主要是财政生均拨款增加了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200万元</w:t>
      </w:r>
      <w:r>
        <w:rPr>
          <w:rFonts w:hint="eastAsia" w:cs="宋体" w:asciiTheme="minorEastAsia" w:hAnsiTheme="minor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cs="宋体" w:asciiTheme="minorEastAsia" w:hAnsiTheme="minorEastAsia"/>
          <w:sz w:val="28"/>
          <w:szCs w:val="28"/>
          <w:lang w:eastAsia="zh-CN"/>
        </w:rPr>
      </w:pPr>
      <w:r>
        <w:rPr>
          <w:rFonts w:hint="eastAsia" w:cs="宋体" w:asciiTheme="minorEastAsia" w:hAnsiTheme="minorEastAsia"/>
          <w:sz w:val="28"/>
          <w:szCs w:val="28"/>
        </w:rPr>
        <w:t>⑵</w:t>
      </w:r>
      <w:r>
        <w:rPr>
          <w:rFonts w:hint="eastAsia" w:cs="宋体" w:asciiTheme="minorEastAsia" w:hAnsiTheme="minorEastAsia"/>
          <w:sz w:val="28"/>
          <w:szCs w:val="28"/>
          <w:lang w:eastAsia="zh-CN"/>
        </w:rPr>
        <w:t>、</w:t>
      </w:r>
      <w:r>
        <w:rPr>
          <w:rFonts w:hint="eastAsia" w:cs="宋体" w:asciiTheme="minorEastAsia" w:hAnsiTheme="minorEastAsia"/>
          <w:sz w:val="28"/>
          <w:szCs w:val="28"/>
        </w:rPr>
        <w:t>202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2</w:t>
      </w:r>
      <w:r>
        <w:rPr>
          <w:rFonts w:hint="eastAsia" w:cs="宋体" w:asciiTheme="minorEastAsia" w:hAnsiTheme="minorEastAsia"/>
          <w:sz w:val="28"/>
          <w:szCs w:val="28"/>
        </w:rPr>
        <w:t>年预算总支出比去年增加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293.31</w:t>
      </w:r>
      <w:r>
        <w:rPr>
          <w:rFonts w:hint="eastAsia" w:cs="宋体" w:asciiTheme="minorEastAsia" w:hAnsiTheme="minorEastAsia"/>
          <w:sz w:val="28"/>
          <w:szCs w:val="28"/>
        </w:rPr>
        <w:t>万元，</w:t>
      </w:r>
      <w:r>
        <w:rPr>
          <w:rFonts w:hint="eastAsia" w:cs="宋体" w:asciiTheme="minorEastAsia" w:hAnsiTheme="minorEastAsia"/>
          <w:sz w:val="28"/>
          <w:szCs w:val="28"/>
          <w:lang w:eastAsia="zh-CN"/>
        </w:rPr>
        <w:t>增加的原因是学校加大了改善办学条件的投入。</w:t>
      </w:r>
    </w:p>
    <w:p>
      <w:pPr>
        <w:numPr>
          <w:ilvl w:val="0"/>
          <w:numId w:val="0"/>
        </w:num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4、存在的问题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和原因</w:t>
      </w:r>
    </w:p>
    <w:p>
      <w:pPr>
        <w:spacing w:line="600" w:lineRule="exact"/>
        <w:ind w:firstLine="640" w:firstLineChars="200"/>
        <w:rPr>
          <w:rFonts w:ascii="宋体" w:hAnsi="宋体" w:cs="宋体"/>
          <w:sz w:val="28"/>
          <w:szCs w:val="28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2022年部门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预算总收入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33366.14万元与部门预算执行数</w:t>
      </w:r>
      <w:r>
        <w:rPr>
          <w:rFonts w:hint="eastAsia" w:ascii="宋体" w:hAnsi="宋体" w:cs="宋体"/>
          <w:sz w:val="28"/>
          <w:szCs w:val="28"/>
        </w:rPr>
        <w:t>18927.76万元</w:t>
      </w:r>
      <w:r>
        <w:rPr>
          <w:rFonts w:hint="eastAsia" w:ascii="宋体" w:hAnsi="宋体" w:cs="宋体"/>
          <w:sz w:val="28"/>
          <w:szCs w:val="28"/>
          <w:lang w:eastAsia="zh-CN"/>
        </w:rPr>
        <w:t>，二者相差</w:t>
      </w:r>
      <w:r>
        <w:rPr>
          <w:rFonts w:hint="eastAsia" w:ascii="宋体" w:hAnsi="宋体" w:cs="宋体"/>
          <w:sz w:val="28"/>
          <w:szCs w:val="28"/>
        </w:rPr>
        <w:t>11212.53万元，</w:t>
      </w:r>
      <w:r>
        <w:rPr>
          <w:rFonts w:hint="eastAsia" w:ascii="宋体" w:hAnsi="宋体" w:cs="宋体"/>
          <w:sz w:val="28"/>
          <w:szCs w:val="28"/>
          <w:lang w:eastAsia="zh-CN"/>
        </w:rPr>
        <w:t>预算收入实际</w:t>
      </w:r>
      <w:r>
        <w:rPr>
          <w:rFonts w:hint="eastAsia" w:ascii="宋体" w:hAnsi="宋体" w:cs="宋体"/>
          <w:sz w:val="28"/>
          <w:szCs w:val="28"/>
        </w:rPr>
        <w:t>降低</w:t>
      </w:r>
      <w:r>
        <w:rPr>
          <w:rFonts w:hint="eastAsia" w:ascii="宋体" w:hAnsi="宋体" w:cs="宋体"/>
          <w:sz w:val="28"/>
          <w:szCs w:val="28"/>
          <w:lang w:eastAsia="zh-CN"/>
        </w:rPr>
        <w:t>了</w:t>
      </w:r>
      <w:r>
        <w:rPr>
          <w:rFonts w:hint="eastAsia" w:ascii="宋体" w:hAnsi="宋体" w:cs="宋体"/>
          <w:sz w:val="28"/>
          <w:szCs w:val="28"/>
        </w:rPr>
        <w:t>37.2%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cs="宋体"/>
          <w:sz w:val="28"/>
          <w:szCs w:val="28"/>
        </w:rPr>
        <w:t xml:space="preserve">主要原因是；⑴、财政按照收付实现制核定财政拨款数；⑵、2022年教育提升资金和市级建设资金大幅减少。    </w:t>
      </w:r>
    </w:p>
    <w:p>
      <w:pPr>
        <w:spacing w:line="600" w:lineRule="exact"/>
        <w:ind w:firstLine="56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2022年部门决算支出18949.93万元，比上年决算支出增加11836.49万元，降低38.45%，主要原因是教育提升资金和市级建设资金支出大幅减少。</w:t>
      </w:r>
    </w:p>
    <w:p>
      <w:pPr>
        <w:ind w:firstLine="640" w:firstLineChars="200"/>
        <w:rPr>
          <w:rFonts w:ascii="楷体_GB2312" w:hAnsi="楷体" w:eastAsia="楷体_GB2312" w:cs="Times New Roman"/>
          <w:sz w:val="32"/>
          <w:szCs w:val="32"/>
        </w:rPr>
      </w:pPr>
      <w:r>
        <w:rPr>
          <w:rFonts w:hint="eastAsia" w:ascii="楷体_GB2312" w:hAnsi="楷体" w:eastAsia="楷体_GB2312" w:cs="楷体_GB2312"/>
          <w:sz w:val="32"/>
          <w:szCs w:val="32"/>
        </w:rPr>
        <w:t>（四）下一步拟改进措施</w:t>
      </w:r>
    </w:p>
    <w:p>
      <w:pPr>
        <w:spacing w:line="360" w:lineRule="auto"/>
        <w:ind w:firstLine="640" w:firstLineChars="200"/>
        <w:rPr>
          <w:rFonts w:ascii="仿宋_GB2312" w:hAnsi="黑体" w:eastAsia="仿宋_GB2312" w:cs="黑体"/>
          <w:bCs/>
          <w:sz w:val="32"/>
          <w:szCs w:val="32"/>
        </w:rPr>
      </w:pPr>
      <w:r>
        <w:rPr>
          <w:rFonts w:hint="eastAsia" w:ascii="仿宋_GB2312" w:hAnsi="黑体" w:eastAsia="仿宋_GB2312" w:cs="黑体"/>
          <w:bCs/>
          <w:sz w:val="32"/>
          <w:szCs w:val="32"/>
          <w:lang w:eastAsia="zh-CN"/>
        </w:rPr>
        <w:t>学校不断</w:t>
      </w:r>
      <w:r>
        <w:rPr>
          <w:rFonts w:hint="eastAsia" w:ascii="仿宋_GB2312" w:hAnsi="黑体" w:eastAsia="仿宋_GB2312" w:cs="黑体"/>
          <w:bCs/>
          <w:sz w:val="32"/>
          <w:szCs w:val="32"/>
        </w:rPr>
        <w:t>建立</w:t>
      </w:r>
      <w:r>
        <w:rPr>
          <w:rFonts w:hint="eastAsia" w:ascii="仿宋_GB2312" w:hAnsi="黑体" w:eastAsia="仿宋_GB2312" w:cs="黑体"/>
          <w:bCs/>
          <w:sz w:val="32"/>
          <w:szCs w:val="32"/>
          <w:lang w:eastAsia="zh-CN"/>
        </w:rPr>
        <w:t>和</w:t>
      </w:r>
      <w:r>
        <w:rPr>
          <w:rFonts w:hint="eastAsia" w:ascii="仿宋_GB2312" w:hAnsi="黑体" w:eastAsia="仿宋_GB2312" w:cs="黑体"/>
          <w:bCs/>
          <w:sz w:val="32"/>
          <w:szCs w:val="32"/>
        </w:rPr>
        <w:t>完善了财务管理</w:t>
      </w:r>
      <w:r>
        <w:rPr>
          <w:rFonts w:hint="eastAsia" w:ascii="仿宋_GB2312" w:hAnsi="黑体" w:eastAsia="仿宋_GB2312" w:cs="黑体"/>
          <w:bCs/>
          <w:sz w:val="32"/>
          <w:szCs w:val="32"/>
          <w:lang w:eastAsia="zh-CN"/>
        </w:rPr>
        <w:t>制度和</w:t>
      </w:r>
      <w:r>
        <w:rPr>
          <w:rFonts w:hint="eastAsia" w:ascii="仿宋_GB2312" w:hAnsi="黑体" w:eastAsia="仿宋_GB2312" w:cs="黑体"/>
          <w:bCs/>
          <w:sz w:val="32"/>
          <w:szCs w:val="32"/>
        </w:rPr>
        <w:t>办法，严格</w:t>
      </w:r>
      <w:r>
        <w:rPr>
          <w:rFonts w:hint="eastAsia" w:ascii="仿宋_GB2312" w:hAnsi="黑体" w:eastAsia="仿宋_GB2312" w:cs="黑体"/>
          <w:bCs/>
          <w:sz w:val="32"/>
          <w:szCs w:val="32"/>
          <w:lang w:eastAsia="zh-CN"/>
        </w:rPr>
        <w:t>按照</w:t>
      </w:r>
      <w:r>
        <w:rPr>
          <w:rFonts w:hint="eastAsia" w:ascii="仿宋_GB2312" w:hAnsi="黑体" w:eastAsia="仿宋_GB2312" w:cs="黑体"/>
          <w:bCs/>
          <w:sz w:val="32"/>
          <w:szCs w:val="32"/>
        </w:rPr>
        <w:t>资金管理原则</w:t>
      </w:r>
      <w:r>
        <w:rPr>
          <w:rFonts w:hint="eastAsia" w:ascii="仿宋_GB2312" w:hAnsi="黑体" w:eastAsia="仿宋_GB2312" w:cs="黑体"/>
          <w:bCs/>
          <w:sz w:val="32"/>
          <w:szCs w:val="32"/>
          <w:lang w:eastAsia="zh-CN"/>
        </w:rPr>
        <w:t>做好资金年度收支平衡</w:t>
      </w:r>
      <w:r>
        <w:rPr>
          <w:rFonts w:hint="eastAsia" w:ascii="仿宋_GB2312" w:hAnsi="黑体" w:eastAsia="仿宋_GB2312" w:cs="黑体"/>
          <w:bCs/>
          <w:sz w:val="32"/>
          <w:szCs w:val="32"/>
        </w:rPr>
        <w:t>，严格执行相关财务制度</w:t>
      </w:r>
      <w:r>
        <w:rPr>
          <w:rFonts w:hint="eastAsia" w:ascii="仿宋_GB2312" w:hAnsi="黑体" w:eastAsia="仿宋_GB2312" w:cs="黑体"/>
          <w:bCs/>
          <w:sz w:val="32"/>
          <w:szCs w:val="32"/>
          <w:lang w:eastAsia="zh-CN"/>
        </w:rPr>
        <w:t>管理规定</w:t>
      </w:r>
      <w:r>
        <w:rPr>
          <w:rFonts w:hint="eastAsia" w:ascii="仿宋_GB2312" w:hAnsi="黑体" w:eastAsia="仿宋_GB2312" w:cs="黑体"/>
          <w:bCs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仿宋_GB2312" w:hAnsi="黑体" w:eastAsia="仿宋_GB2312" w:cs="黑体"/>
          <w:bCs/>
          <w:sz w:val="32"/>
          <w:szCs w:val="32"/>
        </w:rPr>
        <w:t>下一步工作</w:t>
      </w:r>
      <w:r>
        <w:rPr>
          <w:rFonts w:hint="eastAsia" w:ascii="仿宋_GB2312" w:hAnsi="黑体" w:eastAsia="仿宋_GB2312" w:cs="黑体"/>
          <w:bCs/>
          <w:sz w:val="32"/>
          <w:szCs w:val="32"/>
          <w:lang w:eastAsia="zh-CN"/>
        </w:rPr>
        <w:t>改进措施</w:t>
      </w:r>
      <w:r>
        <w:rPr>
          <w:rFonts w:hint="eastAsia" w:ascii="仿宋_GB2312" w:hAnsi="黑体" w:eastAsia="仿宋_GB2312" w:cs="黑体"/>
          <w:bCs/>
          <w:sz w:val="32"/>
          <w:szCs w:val="32"/>
        </w:rPr>
        <w:t>：⑴</w:t>
      </w:r>
      <w:r>
        <w:rPr>
          <w:rFonts w:hint="eastAsia" w:ascii="仿宋_GB2312" w:hAnsi="黑体" w:eastAsia="仿宋_GB2312" w:cs="黑体"/>
          <w:bCs/>
          <w:sz w:val="32"/>
          <w:szCs w:val="32"/>
          <w:lang w:eastAsia="zh-CN"/>
        </w:rPr>
        <w:t>、</w:t>
      </w:r>
      <w:r>
        <w:rPr>
          <w:rFonts w:hint="eastAsia" w:ascii="仿宋_GB2312" w:hAnsi="黑体" w:eastAsia="仿宋_GB2312" w:cs="黑体"/>
          <w:bCs/>
          <w:sz w:val="32"/>
          <w:szCs w:val="32"/>
        </w:rPr>
        <w:t>完善绩效考评体系，使</w:t>
      </w:r>
      <w:r>
        <w:rPr>
          <w:rFonts w:hint="eastAsia" w:ascii="仿宋_GB2312" w:hAnsi="黑体" w:eastAsia="仿宋_GB2312" w:cs="黑体"/>
          <w:bCs/>
          <w:sz w:val="32"/>
          <w:szCs w:val="32"/>
          <w:lang w:eastAsia="zh-CN"/>
        </w:rPr>
        <w:t>绩效</w:t>
      </w:r>
      <w:r>
        <w:rPr>
          <w:rFonts w:hint="eastAsia" w:ascii="仿宋_GB2312" w:hAnsi="黑体" w:eastAsia="仿宋_GB2312" w:cs="黑体"/>
          <w:bCs/>
          <w:sz w:val="32"/>
          <w:szCs w:val="32"/>
        </w:rPr>
        <w:t>考评</w:t>
      </w:r>
      <w:r>
        <w:rPr>
          <w:rFonts w:hint="eastAsia" w:ascii="仿宋_GB2312" w:hAnsi="黑体" w:eastAsia="仿宋_GB2312" w:cs="黑体"/>
          <w:bCs/>
          <w:sz w:val="32"/>
          <w:szCs w:val="32"/>
          <w:lang w:eastAsia="zh-CN"/>
        </w:rPr>
        <w:t>工资</w:t>
      </w:r>
      <w:r>
        <w:rPr>
          <w:rFonts w:hint="eastAsia" w:ascii="仿宋_GB2312" w:hAnsi="黑体" w:eastAsia="仿宋_GB2312" w:cs="黑体"/>
          <w:bCs/>
          <w:sz w:val="32"/>
          <w:szCs w:val="32"/>
        </w:rPr>
        <w:t>有据可依；⑵</w:t>
      </w:r>
      <w:r>
        <w:rPr>
          <w:rFonts w:hint="eastAsia" w:ascii="仿宋_GB2312" w:hAnsi="黑体" w:eastAsia="仿宋_GB2312" w:cs="黑体"/>
          <w:bCs/>
          <w:sz w:val="32"/>
          <w:szCs w:val="32"/>
          <w:lang w:eastAsia="zh-CN"/>
        </w:rPr>
        <w:t>、</w:t>
      </w:r>
      <w:r>
        <w:rPr>
          <w:rFonts w:hint="eastAsia" w:ascii="仿宋_GB2312" w:hAnsi="黑体" w:eastAsia="仿宋_GB2312" w:cs="黑体"/>
          <w:bCs/>
          <w:sz w:val="32"/>
          <w:szCs w:val="32"/>
        </w:rPr>
        <w:t>加强专项资金管理，保证项目资金管理的规范性、安全性和有效性；⑶</w:t>
      </w:r>
      <w:r>
        <w:rPr>
          <w:rFonts w:hint="eastAsia" w:ascii="仿宋_GB2312" w:hAnsi="黑体" w:eastAsia="仿宋_GB2312" w:cs="黑体"/>
          <w:bCs/>
          <w:sz w:val="32"/>
          <w:szCs w:val="32"/>
          <w:lang w:eastAsia="zh-CN"/>
        </w:rPr>
        <w:t>、</w:t>
      </w:r>
      <w:r>
        <w:rPr>
          <w:rFonts w:hint="eastAsia" w:ascii="仿宋_GB2312" w:hAnsi="黑体" w:eastAsia="仿宋_GB2312" w:cs="黑体"/>
          <w:bCs/>
          <w:sz w:val="32"/>
          <w:szCs w:val="32"/>
        </w:rPr>
        <w:t>加强财务规范管理，提高财务管理人员业务素质。</w:t>
      </w:r>
    </w:p>
    <w:p>
      <w:pPr>
        <w:ind w:firstLine="560" w:firstLineChars="20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附件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2.1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：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2022</w:t>
      </w:r>
      <w:r>
        <w:rPr>
          <w:rFonts w:hint="eastAsia" w:ascii="楷体" w:hAnsi="楷体" w:eastAsia="楷体" w:cs="楷体"/>
          <w:sz w:val="28"/>
          <w:szCs w:val="28"/>
        </w:rPr>
        <w:t>年度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运行经费绩效</w:t>
      </w:r>
      <w:r>
        <w:rPr>
          <w:rFonts w:hint="eastAsia" w:ascii="楷体" w:hAnsi="楷体" w:eastAsia="楷体" w:cs="楷体"/>
          <w:sz w:val="28"/>
          <w:szCs w:val="28"/>
        </w:rPr>
        <w:t>自评表</w:t>
      </w:r>
    </w:p>
    <w:p>
      <w:pPr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>附件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2.2: 2022年度生均经费绩效自评表</w:t>
      </w:r>
    </w:p>
    <w:p>
      <w:pPr>
        <w:ind w:firstLine="560" w:firstLineChars="200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附件2.3: 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2022年度高等职业教育素质提升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</w:rPr>
        <w:t>项目自评表</w:t>
      </w:r>
    </w:p>
    <w:p>
      <w:pPr>
        <w:ind w:firstLine="560" w:firstLineChars="200"/>
        <w:rPr>
          <w:rFonts w:hint="default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eastAsia="zh-CN"/>
        </w:rPr>
        <w:t>附件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2.4：2022年度新建学生公寓建设项目自评表</w:t>
      </w:r>
    </w:p>
    <w:p>
      <w:pPr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二、佐证材料</w:t>
      </w:r>
    </w:p>
    <w:p>
      <w:pPr>
        <w:ind w:firstLine="640" w:firstLineChars="200"/>
        <w:rPr>
          <w:rFonts w:ascii="楷体_GB2312" w:hAnsi="楷体" w:eastAsia="楷体_GB2312" w:cs="Times New Roman"/>
          <w:sz w:val="32"/>
          <w:szCs w:val="32"/>
        </w:rPr>
      </w:pPr>
      <w:r>
        <w:rPr>
          <w:rFonts w:hint="eastAsia" w:ascii="楷体_GB2312" w:hAnsi="楷体" w:eastAsia="楷体_GB2312" w:cs="楷体_GB2312"/>
          <w:sz w:val="32"/>
          <w:szCs w:val="32"/>
        </w:rPr>
        <w:t>（一）基本情况</w:t>
      </w:r>
    </w:p>
    <w:p>
      <w:pPr>
        <w:ind w:firstLine="640" w:firstLineChars="200"/>
        <w:rPr>
          <w:rFonts w:hint="eastAsia" w:ascii="仿宋_GB2312" w:hAnsi="仿宋" w:eastAsia="仿宋_GB2312" w:cs="仿宋_GB2312"/>
          <w:sz w:val="32"/>
          <w:szCs w:val="32"/>
        </w:rPr>
      </w:pPr>
      <w:r>
        <w:rPr>
          <w:rFonts w:ascii="仿宋_GB2312" w:hAnsi="仿宋" w:eastAsia="仿宋_GB2312" w:cs="仿宋_GB2312"/>
          <w:sz w:val="32"/>
          <w:szCs w:val="32"/>
        </w:rPr>
        <w:t>1.</w:t>
      </w:r>
      <w:r>
        <w:rPr>
          <w:rFonts w:hint="eastAsia" w:ascii="仿宋_GB2312" w:hAnsi="仿宋" w:eastAsia="仿宋_GB2312" w:cs="仿宋_GB2312"/>
          <w:sz w:val="32"/>
          <w:szCs w:val="32"/>
        </w:rPr>
        <w:t>简要概述部门支出情况以及当年省委省政府布置的重点工作。</w:t>
      </w:r>
    </w:p>
    <w:p>
      <w:pPr>
        <w:spacing w:line="6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2022年部门决算支出18949.93万元，其中：①基本支出17092.99万元，占支出的90.2%；②项目支出1856.94万元，占支出的8%。         </w:t>
      </w:r>
    </w:p>
    <w:p>
      <w:pPr>
        <w:spacing w:line="6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按照支出功能分类科目，主要用于①教育支出-职业教育-中等职业教育141.3万元；②教育支出-职业教育-技校教育172.65万元；③教育支出-职业教育-高等职业教育16779.03万元；④社会保障和就业支出-抚恤-义务兵优待356.38万元；⑤城乡社区支出-国有土地使用权出让收入安排的支出-城市建设支出170万元。</w:t>
      </w:r>
    </w:p>
    <w:p>
      <w:pPr>
        <w:spacing w:line="6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按照支出经济分类科目，主要用于：①基本支出17092.99万元，包括人员经费支出13191.96万元和日常公用经费3901.03万元；②项目支出1856.94万元。    </w:t>
      </w:r>
    </w:p>
    <w:p>
      <w:pPr>
        <w:spacing w:line="360" w:lineRule="auto"/>
        <w:ind w:firstLine="560" w:firstLineChars="200"/>
        <w:outlineLvl w:val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2022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我校严格按照国家省市有关制度要求，加强财务管理，坚持“三个到位”，抓好“四个环节”。坚持“三个到位”：一是领导到位。校领导高度重视，成立专班，确保项目在实施过程中充分发挥效益；二是管理制度到位。制定了专项资金管理办法，做到专款专用，杜绝了资金被挤占和挪用现象的发生；三是跟踪检查到位。资产、财务、纪委等部门参与项目资金的事前、事中和事后全过程监管，尽量早发现问题、早解决问题，避免和减少损失，提高资金使用效益。抓好“四个环节”：一是项目评估论证环节;二是实施主体环节;三是项目招投标环节;四是项目质量监理环节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简要概述年度部门整体绩效目标。</w:t>
      </w:r>
    </w:p>
    <w:p>
      <w:pPr>
        <w:spacing w:line="600" w:lineRule="exact"/>
        <w:ind w:firstLine="560" w:firstLineChars="200"/>
        <w:rPr>
          <w:rFonts w:hint="default" w:ascii="仿宋_GB2312" w:hAnsi="仿宋" w:eastAsia="仿宋_GB2312" w:cs="仿宋_GB2312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2022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年部门整体支出绩效目标基本完成。根据年初设定的绩效目标，</w:t>
      </w:r>
      <w:r>
        <w:rPr>
          <w:rFonts w:hint="eastAsia" w:asciiTheme="minorEastAsia" w:hAnsiTheme="minorEastAsia" w:eastAsiaTheme="minorEastAsia" w:cstheme="minorEastAsia"/>
          <w:color w:val="333333"/>
          <w:kern w:val="0"/>
          <w:sz w:val="28"/>
          <w:szCs w:val="28"/>
        </w:rPr>
        <w:t>绩效评价自评得分</w:t>
      </w:r>
      <w:r>
        <w:rPr>
          <w:rFonts w:hint="eastAsia" w:asciiTheme="minorEastAsia" w:hAnsiTheme="minorEastAsia" w:cstheme="minorEastAsia"/>
          <w:color w:val="333333"/>
          <w:kern w:val="0"/>
          <w:sz w:val="28"/>
          <w:szCs w:val="28"/>
          <w:lang w:val="en-US" w:eastAsia="zh-CN"/>
        </w:rPr>
        <w:t>90.7</w:t>
      </w:r>
      <w:r>
        <w:rPr>
          <w:rFonts w:hint="eastAsia" w:asciiTheme="minorEastAsia" w:hAnsiTheme="minorEastAsia" w:eastAsiaTheme="minorEastAsia" w:cstheme="minorEastAsia"/>
          <w:color w:val="333333"/>
          <w:kern w:val="0"/>
          <w:sz w:val="28"/>
          <w:szCs w:val="28"/>
        </w:rPr>
        <w:t>分。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（二）部门自评工作开展情况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1、按照财政部门工作要求对2022年度鄂州职业大学部门预算情况进行公开说明。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2、按照财政部门工作要求对2022年度鄂州职业大学部门决算情况进行公开说明。</w:t>
      </w:r>
    </w:p>
    <w:p>
      <w:pPr>
        <w:ind w:firstLine="640" w:firstLineChars="200"/>
        <w:rPr>
          <w:rFonts w:ascii="楷体_GB2312" w:hAnsi="楷体" w:eastAsia="楷体_GB2312" w:cs="Times New Roman"/>
          <w:sz w:val="32"/>
          <w:szCs w:val="32"/>
        </w:rPr>
      </w:pPr>
      <w:r>
        <w:rPr>
          <w:rFonts w:hint="eastAsia" w:ascii="楷体_GB2312" w:hAnsi="楷体" w:eastAsia="楷体_GB2312" w:cs="楷体_GB2312"/>
          <w:sz w:val="32"/>
          <w:szCs w:val="32"/>
        </w:rPr>
        <w:t>（三）绩效目标完成情况分析</w:t>
      </w:r>
    </w:p>
    <w:p>
      <w:pPr>
        <w:ind w:firstLine="640" w:firstLineChars="200"/>
        <w:outlineLvl w:val="0"/>
        <w:rPr>
          <w:rFonts w:hint="eastAsia" w:ascii="仿宋_GB2312" w:hAnsi="楷体_GB2312" w:eastAsia="仿宋_GB2312" w:cs="仿宋_GB2312"/>
          <w:sz w:val="32"/>
          <w:szCs w:val="32"/>
        </w:rPr>
      </w:pPr>
      <w:r>
        <w:rPr>
          <w:rFonts w:ascii="仿宋_GB2312" w:hAnsi="楷体_GB2312" w:eastAsia="仿宋_GB2312" w:cs="仿宋_GB2312"/>
          <w:sz w:val="32"/>
          <w:szCs w:val="32"/>
        </w:rPr>
        <w:t>1.</w:t>
      </w:r>
      <w:r>
        <w:rPr>
          <w:rFonts w:hint="eastAsia" w:ascii="仿宋_GB2312" w:hAnsi="楷体_GB2312" w:eastAsia="仿宋_GB2312" w:cs="仿宋_GB2312"/>
          <w:sz w:val="32"/>
          <w:szCs w:val="32"/>
        </w:rPr>
        <w:t>预算执行情况分析（包括完成情况和偏离原因等）。</w:t>
      </w:r>
    </w:p>
    <w:p>
      <w:pPr>
        <w:spacing w:line="6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2022年部门决算收入18927.76万元，比上年决算收入减少11212.53万元，降低37.2%，主要原因是；1、财政按照收付实现制核定财政拨款数；2、2022年教育提升资金和市级建设资金大幅减少。    </w:t>
      </w:r>
    </w:p>
    <w:p>
      <w:pPr>
        <w:spacing w:line="60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2022年部门决算支出18949.93万元，比上年决算支出增加11836.49万元，降低38.45%，主要原因是教育提升资金和市级建设资金支出大幅减少。</w:t>
      </w:r>
    </w:p>
    <w:p>
      <w:pPr>
        <w:spacing w:line="62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我校2022年财政拨款收入决算11858.32万元，主要包括：一般公共预算财政拨款本年收入11062.76万元，上年结转625.56万元，政府性基金预算170万元。</w:t>
      </w:r>
    </w:p>
    <w:p>
      <w:pPr>
        <w:spacing w:line="620" w:lineRule="exact"/>
        <w:ind w:firstLine="560" w:firstLineChars="200"/>
        <w:rPr>
          <w:rFonts w:hint="eastAsia" w:ascii="仿宋_GB2312" w:hAnsi="楷体_GB2312" w:eastAsia="仿宋_GB2312" w:cs="仿宋_GB2312"/>
          <w:sz w:val="32"/>
          <w:szCs w:val="32"/>
        </w:rPr>
      </w:pPr>
      <w:r>
        <w:rPr>
          <w:rFonts w:hint="eastAsia" w:ascii="宋体" w:hAnsi="宋体" w:cs="宋体"/>
          <w:sz w:val="28"/>
          <w:szCs w:val="28"/>
        </w:rPr>
        <w:t>2022年财政拨款本年支出11858.32万元，包括：1、一般公共财政预算11084.93万元， 2、政府性基金预算财政拨款170万元，3、年末财政拨款结转与结余603.39万元。</w:t>
      </w:r>
    </w:p>
    <w:p>
      <w:pPr>
        <w:ind w:firstLine="200" w:firstLineChars="200"/>
        <w:outlineLvl w:val="0"/>
        <w:rPr>
          <w:rFonts w:ascii="仿宋_GB2312" w:hAnsi="楷体_GB2312" w:eastAsia="仿宋_GB2312" w:cs="仿宋_GB2312"/>
          <w:sz w:val="10"/>
          <w:szCs w:val="10"/>
        </w:rPr>
      </w:pPr>
    </w:p>
    <w:p>
      <w:pPr>
        <w:ind w:firstLine="640" w:firstLineChars="200"/>
        <w:outlineLvl w:val="0"/>
        <w:rPr>
          <w:rFonts w:ascii="仿宋_GB2312" w:hAnsi="楷体_GB2312" w:eastAsia="仿宋_GB2312" w:cs="Times New Roman"/>
          <w:sz w:val="32"/>
          <w:szCs w:val="32"/>
        </w:rPr>
      </w:pPr>
      <w:r>
        <w:rPr>
          <w:rFonts w:ascii="仿宋_GB2312" w:hAnsi="楷体_GB2312" w:eastAsia="仿宋_GB2312" w:cs="仿宋_GB2312"/>
          <w:sz w:val="32"/>
          <w:szCs w:val="32"/>
        </w:rPr>
        <w:t>2.</w:t>
      </w:r>
      <w:r>
        <w:rPr>
          <w:rFonts w:hint="eastAsia" w:ascii="仿宋_GB2312" w:hAnsi="楷体_GB2312" w:eastAsia="仿宋_GB2312" w:cs="仿宋_GB2312"/>
          <w:sz w:val="32"/>
          <w:szCs w:val="32"/>
        </w:rPr>
        <w:t>绩效目标完成情况分析</w:t>
      </w:r>
    </w:p>
    <w:p>
      <w:pPr>
        <w:ind w:firstLine="640" w:firstLineChars="200"/>
        <w:rPr>
          <w:rFonts w:hint="eastAsia"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</w:t>
      </w:r>
      <w:r>
        <w:rPr>
          <w:rFonts w:ascii="仿宋_GB2312" w:hAnsi="仿宋" w:eastAsia="仿宋_GB2312" w:cs="仿宋_GB2312"/>
          <w:sz w:val="32"/>
          <w:szCs w:val="32"/>
        </w:rPr>
        <w:t>1</w:t>
      </w:r>
      <w:r>
        <w:rPr>
          <w:rFonts w:hint="eastAsia" w:ascii="仿宋_GB2312" w:hAnsi="仿宋" w:eastAsia="仿宋_GB2312" w:cs="仿宋_GB2312"/>
          <w:sz w:val="32"/>
          <w:szCs w:val="32"/>
        </w:rPr>
        <w:t>）产出指标完成情况分析。</w:t>
      </w:r>
    </w:p>
    <w:tbl>
      <w:tblPr>
        <w:tblStyle w:val="4"/>
        <w:tblW w:w="84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40"/>
        <w:gridCol w:w="2853"/>
        <w:gridCol w:w="1326"/>
        <w:gridCol w:w="1491"/>
        <w:gridCol w:w="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3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1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85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基础设施改造面积</w:t>
            </w:r>
          </w:p>
        </w:tc>
        <w:tc>
          <w:tcPr>
            <w:tcW w:w="1326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15000平方米</w:t>
            </w:r>
          </w:p>
        </w:tc>
        <w:tc>
          <w:tcPr>
            <w:tcW w:w="1491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16500</w:t>
            </w:r>
          </w:p>
        </w:tc>
        <w:tc>
          <w:tcPr>
            <w:tcW w:w="91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3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85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继续教育联合办学人员数</w:t>
            </w:r>
          </w:p>
        </w:tc>
        <w:tc>
          <w:tcPr>
            <w:tcW w:w="132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2000人</w:t>
            </w:r>
          </w:p>
        </w:tc>
        <w:tc>
          <w:tcPr>
            <w:tcW w:w="1491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2100</w:t>
            </w:r>
          </w:p>
        </w:tc>
        <w:tc>
          <w:tcPr>
            <w:tcW w:w="91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3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85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修缮改造工程项目完成率</w:t>
            </w:r>
          </w:p>
        </w:tc>
        <w:tc>
          <w:tcPr>
            <w:tcW w:w="132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491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91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3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85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研究成果数</w:t>
            </w:r>
          </w:p>
        </w:tc>
        <w:tc>
          <w:tcPr>
            <w:tcW w:w="132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30个</w:t>
            </w:r>
          </w:p>
        </w:tc>
        <w:tc>
          <w:tcPr>
            <w:tcW w:w="1491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30</w:t>
            </w:r>
          </w:p>
        </w:tc>
        <w:tc>
          <w:tcPr>
            <w:tcW w:w="917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3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85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5：招生人数</w:t>
            </w:r>
          </w:p>
        </w:tc>
        <w:tc>
          <w:tcPr>
            <w:tcW w:w="132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5000人</w:t>
            </w:r>
          </w:p>
        </w:tc>
        <w:tc>
          <w:tcPr>
            <w:tcW w:w="1491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5300</w:t>
            </w:r>
          </w:p>
        </w:tc>
        <w:tc>
          <w:tcPr>
            <w:tcW w:w="91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3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0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85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基础设施验收通过率</w:t>
            </w:r>
          </w:p>
        </w:tc>
        <w:tc>
          <w:tcPr>
            <w:tcW w:w="132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49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17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3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85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科研项目结项通过率</w:t>
            </w:r>
          </w:p>
        </w:tc>
        <w:tc>
          <w:tcPr>
            <w:tcW w:w="132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149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91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3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85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设备验收通过率</w:t>
            </w:r>
          </w:p>
        </w:tc>
        <w:tc>
          <w:tcPr>
            <w:tcW w:w="132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49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1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3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85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修缮改造工程验收通过率</w:t>
            </w:r>
          </w:p>
        </w:tc>
        <w:tc>
          <w:tcPr>
            <w:tcW w:w="132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49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1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87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得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分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合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计</w:t>
            </w:r>
          </w:p>
        </w:tc>
        <w:tc>
          <w:tcPr>
            <w:tcW w:w="2853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491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17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39</w:t>
            </w:r>
          </w:p>
        </w:tc>
      </w:tr>
    </w:tbl>
    <w:p>
      <w:pPr>
        <w:numPr>
          <w:ilvl w:val="0"/>
          <w:numId w:val="0"/>
        </w:numPr>
        <w:ind w:firstLine="500" w:firstLineChars="500"/>
        <w:rPr>
          <w:rFonts w:hint="eastAsia" w:ascii="仿宋_GB2312" w:hAnsi="仿宋" w:eastAsia="仿宋_GB2312" w:cs="仿宋_GB2312"/>
          <w:sz w:val="10"/>
          <w:szCs w:val="10"/>
        </w:rPr>
      </w:pPr>
    </w:p>
    <w:p>
      <w:pPr>
        <w:numPr>
          <w:ilvl w:val="0"/>
          <w:numId w:val="0"/>
        </w:numPr>
        <w:ind w:firstLine="1600" w:firstLineChars="500"/>
        <w:rPr>
          <w:rFonts w:hint="eastAsia"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⑵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 w:cs="仿宋_GB2312"/>
          <w:sz w:val="32"/>
          <w:szCs w:val="32"/>
        </w:rPr>
        <w:t>效益指标完成情况分析。</w:t>
      </w:r>
    </w:p>
    <w:tbl>
      <w:tblPr>
        <w:tblStyle w:val="4"/>
        <w:tblW w:w="88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25"/>
        <w:gridCol w:w="2732"/>
        <w:gridCol w:w="1719"/>
        <w:gridCol w:w="1695"/>
        <w:gridCol w:w="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20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125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73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资金监管</w:t>
            </w:r>
          </w:p>
        </w:tc>
        <w:tc>
          <w:tcPr>
            <w:tcW w:w="1719" w:type="dxa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按财政资金管理要求确保资金安全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按财政资金管理要求确保资金安全</w:t>
            </w:r>
          </w:p>
        </w:tc>
        <w:tc>
          <w:tcPr>
            <w:tcW w:w="834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2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73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资金下达</w:t>
            </w:r>
          </w:p>
        </w:tc>
        <w:tc>
          <w:tcPr>
            <w:tcW w:w="1719" w:type="dxa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按规定时限将财政资金下达到具体项目学校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按规定时限将财政资金下达到具体项目学校</w:t>
            </w:r>
          </w:p>
        </w:tc>
        <w:tc>
          <w:tcPr>
            <w:tcW w:w="834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2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5" w:type="dxa"/>
            <w:vMerge w:val="restart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73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改善广大师生员工的教学、科研条件</w:t>
            </w:r>
          </w:p>
        </w:tc>
        <w:tc>
          <w:tcPr>
            <w:tcW w:w="171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较显著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较显著</w:t>
            </w:r>
          </w:p>
        </w:tc>
        <w:tc>
          <w:tcPr>
            <w:tcW w:w="834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2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73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提高并推动人才持续协调发展</w:t>
            </w:r>
          </w:p>
        </w:tc>
        <w:tc>
          <w:tcPr>
            <w:tcW w:w="171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有效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有效</w:t>
            </w:r>
          </w:p>
        </w:tc>
        <w:tc>
          <w:tcPr>
            <w:tcW w:w="834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2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2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73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职业院校毕业生就业率</w:t>
            </w:r>
          </w:p>
        </w:tc>
        <w:tc>
          <w:tcPr>
            <w:tcW w:w="171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高职≥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34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2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</w:rPr>
            </w:pPr>
          </w:p>
        </w:tc>
        <w:tc>
          <w:tcPr>
            <w:tcW w:w="11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</w:tc>
        <w:tc>
          <w:tcPr>
            <w:tcW w:w="273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对在校师生的环境影响</w:t>
            </w:r>
          </w:p>
        </w:tc>
        <w:tc>
          <w:tcPr>
            <w:tcW w:w="171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必须满足师生健康要求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必须满足师生健康要求</w:t>
            </w:r>
          </w:p>
        </w:tc>
        <w:tc>
          <w:tcPr>
            <w:tcW w:w="834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845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计</w:t>
            </w:r>
          </w:p>
        </w:tc>
        <w:tc>
          <w:tcPr>
            <w:tcW w:w="2732" w:type="dxa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719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4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25.5</w:t>
            </w:r>
          </w:p>
        </w:tc>
      </w:tr>
    </w:tbl>
    <w:p>
      <w:pPr>
        <w:ind w:firstLine="960" w:firstLineChars="300"/>
        <w:rPr>
          <w:rFonts w:hint="eastAsia" w:ascii="仿宋_GB2312" w:hAnsi="仿宋" w:eastAsia="仿宋_GB2312" w:cs="仿宋_GB2312"/>
          <w:sz w:val="32"/>
          <w:szCs w:val="32"/>
        </w:rPr>
      </w:pPr>
    </w:p>
    <w:p>
      <w:pPr>
        <w:ind w:firstLine="960" w:firstLineChars="3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（3）满意度指标完成情况分析。</w:t>
      </w:r>
    </w:p>
    <w:tbl>
      <w:tblPr>
        <w:tblStyle w:val="4"/>
        <w:tblW w:w="84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1122"/>
        <w:gridCol w:w="2470"/>
        <w:gridCol w:w="1515"/>
        <w:gridCol w:w="1436"/>
        <w:gridCol w:w="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4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4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 xml:space="preserve"> 使用人员满意度 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大于等于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4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  <w:t>大于等于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96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3</w:t>
            </w:r>
          </w:p>
        </w:tc>
      </w:tr>
    </w:tbl>
    <w:p>
      <w:pPr>
        <w:rPr>
          <w:rFonts w:hint="default" w:eastAsiaTheme="minorEastAsia"/>
          <w:lang w:val="en-US" w:eastAsia="zh-CN"/>
        </w:rPr>
      </w:pPr>
    </w:p>
    <w:p>
      <w:pPr>
        <w:ind w:firstLine="6440" w:firstLineChars="2300"/>
        <w:rPr>
          <w:rFonts w:hint="eastAsia"/>
          <w:sz w:val="28"/>
          <w:szCs w:val="28"/>
          <w:lang w:val="en-US" w:eastAsia="zh-CN"/>
        </w:rPr>
      </w:pPr>
    </w:p>
    <w:p>
      <w:pPr>
        <w:ind w:firstLine="4760" w:firstLineChars="1700"/>
        <w:rPr>
          <w:rFonts w:hint="eastAsia"/>
          <w:sz w:val="28"/>
          <w:szCs w:val="28"/>
          <w:lang w:val="en-US" w:eastAsia="zh-CN"/>
        </w:rPr>
      </w:pPr>
    </w:p>
    <w:p>
      <w:pPr>
        <w:ind w:firstLine="4760" w:firstLineChars="1700"/>
        <w:rPr>
          <w:rFonts w:hint="eastAsia"/>
          <w:sz w:val="28"/>
          <w:szCs w:val="28"/>
          <w:lang w:val="en-US" w:eastAsia="zh-CN"/>
        </w:rPr>
      </w:pPr>
    </w:p>
    <w:p>
      <w:pPr>
        <w:ind w:firstLine="4760" w:firstLineChars="17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鄂州职业大学</w:t>
      </w:r>
    </w:p>
    <w:p>
      <w:pP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2023年5月23日</w:t>
      </w:r>
    </w:p>
    <w:sectPr>
      <w:footerReference r:id="rId3" w:type="default"/>
      <w:pgSz w:w="11906" w:h="16838"/>
      <w:pgMar w:top="1440" w:right="1800" w:bottom="1440" w:left="1800" w:header="851" w:footer="680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Times New Roman" w:hAnsi="Times New Roman"/>
        <w:sz w:val="24"/>
        <w:szCs w:val="22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F4D35C"/>
    <w:multiLevelType w:val="singleLevel"/>
    <w:tmpl w:val="FCF4D35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xYzk4NjNkMzYzZjQwNTA1OTQ1OTA3MWIxMjUxYWIifQ=="/>
  </w:docVars>
  <w:rsids>
    <w:rsidRoot w:val="33E468B1"/>
    <w:rsid w:val="021155E7"/>
    <w:rsid w:val="0DA11FD2"/>
    <w:rsid w:val="15DF77F7"/>
    <w:rsid w:val="1E1B33C4"/>
    <w:rsid w:val="2416769C"/>
    <w:rsid w:val="2CBD0053"/>
    <w:rsid w:val="31A60F11"/>
    <w:rsid w:val="33E468B1"/>
    <w:rsid w:val="3806155D"/>
    <w:rsid w:val="3C0B4937"/>
    <w:rsid w:val="3F8A07FD"/>
    <w:rsid w:val="4DD508A4"/>
    <w:rsid w:val="4E2B2DA7"/>
    <w:rsid w:val="545C4755"/>
    <w:rsid w:val="5B2829B8"/>
    <w:rsid w:val="648B3FB8"/>
    <w:rsid w:val="71BC7EA6"/>
    <w:rsid w:val="727C5C2A"/>
    <w:rsid w:val="73A30AC4"/>
    <w:rsid w:val="7A24441E"/>
    <w:rsid w:val="7AAF1A6F"/>
    <w:rsid w:val="7D1D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2213</Words>
  <Characters>2660</Characters>
  <Lines>0</Lines>
  <Paragraphs>0</Paragraphs>
  <TotalTime>16</TotalTime>
  <ScaleCrop>false</ScaleCrop>
  <LinksUpToDate>false</LinksUpToDate>
  <CharactersWithSpaces>2742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2023-05-26T01:34:00Z</dcterms:created>
  <dc:creator>Administrator</dc:creator>
  <cp:lastModifiedBy>Administrator</cp:lastModifiedBy>
  <dcterms:modified xsi:type="dcterms:W3CDTF">2023-06-02T08:44:49Z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F28EBB2956774653A92DA7C07192A521</vt:lpwstr>
  </property>
</Properties>
</file>