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2022年度部门整体绩效自评表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24"/>
          <w:szCs w:val="24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 xml:space="preserve">  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742"/>
        <w:gridCol w:w="575"/>
        <w:gridCol w:w="1466"/>
        <w:gridCol w:w="359"/>
        <w:gridCol w:w="960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  <w:t>鄂州职业大学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基本支出总额</w:t>
            </w:r>
          </w:p>
        </w:tc>
        <w:tc>
          <w:tcPr>
            <w:tcW w:w="318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33366.14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万元</w:t>
            </w:r>
          </w:p>
        </w:tc>
        <w:tc>
          <w:tcPr>
            <w:tcW w:w="240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项目支出总额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33366.14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部门整体支出总额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33366.14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18949.93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56.94%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年度目标1：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68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67.5分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基础设施改造面积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15000平方米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16500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继续教育联合办学人员数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2100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修缮改造工程项目完成率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研究成果数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5：招生人数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5300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基础设施验收通过率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科研项目结项通过率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设备验收通过率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修缮改造工程验收通过率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按规定时限将财政资金下达到具体项目学校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按规定时限将财政资金下达到具体项目学校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改善广大师生员工的教学、科研条件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较显著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较显著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提高并推动人才持续协调发展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职业院校毕业生就业率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高职≥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使用人员满意度 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11.8分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90.7分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一是资金安排使用跟不上项目目标资金的使用节奏。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二是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资金回笼效果比预期项目资金偏低。</w:t>
            </w:r>
          </w:p>
          <w:p>
            <w:pPr>
              <w:widowControl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三是开源节流、增收节支的预期项目资金效果和理想结果存在差距。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保障高职院校正常运转（包括日常教育教学活动、行政管理和后勤保障等方面所需的人员经费和公用经费支出）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保障学校基础能力建设，技能型人才培养等发展资金需要，不断提升内涵建设水平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建立全日制普通公办高职院校生均财政拨款制度。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改善学校办学水平，促进学校教育质量不断提升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大力推进技术技能培养工作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  <w:sz w:val="20"/>
          <w:szCs w:val="20"/>
        </w:rPr>
      </w:pP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备注：</w:t>
      </w:r>
    </w:p>
    <w:p>
      <w:pPr>
        <w:widowControl/>
        <w:ind w:firstLine="400" w:firstLineChars="200"/>
        <w:rPr>
          <w:rFonts w:ascii="仿宋_GB2312" w:hAnsi="宋体" w:eastAsia="仿宋_GB2312" w:cs="Times New Roman"/>
          <w:kern w:val="0"/>
          <w:sz w:val="20"/>
          <w:szCs w:val="20"/>
        </w:rPr>
      </w:pPr>
      <w:r>
        <w:rPr>
          <w:rFonts w:ascii="仿宋_GB2312" w:hAnsi="宋体" w:eastAsia="仿宋_GB2312" w:cs="仿宋_GB2312"/>
          <w:kern w:val="0"/>
          <w:sz w:val="20"/>
          <w:szCs w:val="20"/>
        </w:rPr>
        <w:t>1.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00" w:firstLineChars="200"/>
        <w:rPr>
          <w:rFonts w:ascii="仿宋_GB2312" w:hAnsi="宋体" w:eastAsia="仿宋_GB2312" w:cs="Times New Roman"/>
          <w:kern w:val="0"/>
          <w:sz w:val="20"/>
          <w:szCs w:val="20"/>
        </w:rPr>
      </w:pPr>
      <w:r>
        <w:rPr>
          <w:rFonts w:ascii="仿宋_GB2312" w:hAnsi="宋体" w:eastAsia="仿宋_GB2312" w:cs="仿宋_GB2312"/>
          <w:kern w:val="0"/>
          <w:sz w:val="20"/>
          <w:szCs w:val="20"/>
        </w:rPr>
        <w:t>2.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  <w:sz w:val="20"/>
          <w:szCs w:val="20"/>
        </w:rPr>
        <w:t>X,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得分</w:t>
      </w:r>
      <w:r>
        <w:rPr>
          <w:rFonts w:ascii="仿宋_GB2312" w:hAnsi="宋体" w:eastAsia="仿宋_GB2312" w:cs="仿宋_GB2312"/>
          <w:kern w:val="0"/>
          <w:sz w:val="20"/>
          <w:szCs w:val="20"/>
        </w:rPr>
        <w:t>=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权重</w:t>
      </w:r>
      <w:r>
        <w:rPr>
          <w:rFonts w:ascii="仿宋_GB2312" w:hAnsi="宋体" w:eastAsia="仿宋_GB2312" w:cs="仿宋_GB2312"/>
          <w:kern w:val="0"/>
          <w:sz w:val="20"/>
          <w:szCs w:val="20"/>
        </w:rPr>
        <w:t>*B/A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），反向指标（即目标值为≤</w:t>
      </w:r>
      <w:r>
        <w:rPr>
          <w:rFonts w:ascii="仿宋_GB2312" w:hAnsi="宋体" w:eastAsia="仿宋_GB2312" w:cs="仿宋_GB2312"/>
          <w:kern w:val="0"/>
          <w:sz w:val="20"/>
          <w:szCs w:val="20"/>
        </w:rPr>
        <w:t>X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，得分</w:t>
      </w:r>
      <w:r>
        <w:rPr>
          <w:rFonts w:ascii="仿宋_GB2312" w:hAnsi="宋体" w:eastAsia="仿宋_GB2312" w:cs="仿宋_GB2312"/>
          <w:kern w:val="0"/>
          <w:sz w:val="20"/>
          <w:szCs w:val="20"/>
        </w:rPr>
        <w:t>=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权重</w:t>
      </w:r>
      <w:r>
        <w:rPr>
          <w:rFonts w:ascii="仿宋_GB2312" w:hAnsi="宋体" w:eastAsia="仿宋_GB2312" w:cs="仿宋_GB2312"/>
          <w:kern w:val="0"/>
          <w:sz w:val="20"/>
          <w:szCs w:val="20"/>
        </w:rPr>
        <w:t>*A/B）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，得分不得突破权重总额。定量指标先汇总完成数，再计算得分。</w:t>
      </w:r>
    </w:p>
    <w:p>
      <w:pPr>
        <w:widowControl/>
        <w:ind w:firstLine="400" w:firstLineChars="200"/>
        <w:rPr>
          <w:rFonts w:ascii="仿宋_GB2312" w:hAnsi="宋体" w:eastAsia="仿宋_GB2312" w:cs="Times New Roman"/>
          <w:kern w:val="0"/>
          <w:sz w:val="20"/>
          <w:szCs w:val="20"/>
        </w:rPr>
      </w:pPr>
      <w:r>
        <w:rPr>
          <w:rFonts w:ascii="仿宋_GB2312" w:hAnsi="宋体" w:eastAsia="仿宋_GB2312" w:cs="仿宋_GB2312"/>
          <w:kern w:val="0"/>
          <w:sz w:val="20"/>
          <w:szCs w:val="20"/>
        </w:rPr>
        <w:t>3.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  <w:sz w:val="20"/>
          <w:szCs w:val="20"/>
        </w:rPr>
        <w:t>100-80%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（含</w:t>
      </w:r>
      <w:r>
        <w:rPr>
          <w:rFonts w:ascii="仿宋_GB2312" w:hAnsi="宋体" w:eastAsia="仿宋_GB2312" w:cs="仿宋_GB2312"/>
          <w:kern w:val="0"/>
          <w:sz w:val="20"/>
          <w:szCs w:val="20"/>
        </w:rPr>
        <w:t>80%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）、</w:t>
      </w:r>
      <w:r>
        <w:rPr>
          <w:rFonts w:ascii="仿宋_GB2312" w:hAnsi="宋体" w:eastAsia="仿宋_GB2312" w:cs="仿宋_GB2312"/>
          <w:kern w:val="0"/>
          <w:sz w:val="20"/>
          <w:szCs w:val="20"/>
        </w:rPr>
        <w:t>80-50%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（含</w:t>
      </w:r>
      <w:r>
        <w:rPr>
          <w:rFonts w:ascii="仿宋_GB2312" w:hAnsi="宋体" w:eastAsia="仿宋_GB2312" w:cs="仿宋_GB2312"/>
          <w:kern w:val="0"/>
          <w:sz w:val="20"/>
          <w:szCs w:val="20"/>
        </w:rPr>
        <w:t>50%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）、</w:t>
      </w:r>
      <w:r>
        <w:rPr>
          <w:rFonts w:ascii="仿宋_GB2312" w:hAnsi="宋体" w:eastAsia="仿宋_GB2312" w:cs="仿宋_GB2312"/>
          <w:kern w:val="0"/>
          <w:sz w:val="20"/>
          <w:szCs w:val="20"/>
        </w:rPr>
        <w:t>50-0%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合理确定分值。汇总时，以资金额度为权重，对分值进行加权平均计算。</w:t>
      </w:r>
    </w:p>
    <w:p>
      <w:pPr>
        <w:widowControl/>
        <w:ind w:firstLine="400" w:firstLineChars="200"/>
        <w:rPr>
          <w:rFonts w:hint="default" w:eastAsiaTheme="minorEastAsia"/>
          <w:lang w:val="en-US" w:eastAsia="zh-CN"/>
        </w:rPr>
      </w:pPr>
      <w:r>
        <w:rPr>
          <w:rFonts w:ascii="仿宋_GB2312" w:hAnsi="宋体" w:eastAsia="仿宋_GB2312" w:cs="仿宋_GB2312"/>
          <w:kern w:val="0"/>
          <w:sz w:val="20"/>
          <w:szCs w:val="20"/>
        </w:rPr>
        <w:t>4.</w:t>
      </w:r>
      <w:r>
        <w:rPr>
          <w:rFonts w:hint="eastAsia" w:ascii="仿宋_GB2312" w:hAnsi="宋体" w:eastAsia="仿宋_GB2312" w:cs="仿宋_GB2312"/>
          <w:kern w:val="0"/>
          <w:sz w:val="20"/>
          <w:szCs w:val="2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93898"/>
    <w:multiLevelType w:val="singleLevel"/>
    <w:tmpl w:val="4F5938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7C5820AA"/>
    <w:rsid w:val="04E7309A"/>
    <w:rsid w:val="191F64A1"/>
    <w:rsid w:val="19375EE1"/>
    <w:rsid w:val="20D8173D"/>
    <w:rsid w:val="24651FCA"/>
    <w:rsid w:val="28C17575"/>
    <w:rsid w:val="2D2C6B87"/>
    <w:rsid w:val="33E13BC3"/>
    <w:rsid w:val="3FB8611D"/>
    <w:rsid w:val="457E43CC"/>
    <w:rsid w:val="48895562"/>
    <w:rsid w:val="498B2E97"/>
    <w:rsid w:val="63CD3F2D"/>
    <w:rsid w:val="6FB24AEE"/>
    <w:rsid w:val="77EB3293"/>
    <w:rsid w:val="7A754BF4"/>
    <w:rsid w:val="7ABC7B10"/>
    <w:rsid w:val="7C5820AA"/>
    <w:rsid w:val="7E50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1183</Words>
  <Characters>1332</Characters>
  <Lines>0</Lines>
  <Paragraphs>0</Paragraphs>
  <TotalTime>3</TotalTime>
  <ScaleCrop>false</ScaleCrop>
  <LinksUpToDate>false</LinksUpToDate>
  <CharactersWithSpaces>1344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2023-05-25T08:10:00Z</dcterms:created>
  <dc:creator>Administrator</dc:creator>
  <cp:lastModifiedBy>Administrator</cp:lastModifiedBy>
  <dcterms:modified xsi:type="dcterms:W3CDTF">2023-06-02T08:44:37Z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68674CD6FA7B46F9BF6F884C1516B3E9</vt:lpwstr>
  </property>
</Properties>
</file>